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02B1D55"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8C2305">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801A0E" w:rsidRPr="00801A0E">
        <w:rPr>
          <w:rFonts w:ascii="Arial" w:eastAsia="Batang" w:hAnsi="Arial" w:cs="Arial"/>
          <w:b/>
          <w:bCs/>
          <w:szCs w:val="22"/>
        </w:rPr>
        <w:t>R1-1910768</w:t>
      </w:r>
    </w:p>
    <w:p w14:paraId="3B0F6453" w14:textId="62D27A73" w:rsidR="00855F39" w:rsidRPr="00074926" w:rsidRDefault="008C2305" w:rsidP="00855F39">
      <w:pPr>
        <w:tabs>
          <w:tab w:val="center" w:pos="4536"/>
          <w:tab w:val="right" w:pos="9072"/>
        </w:tabs>
        <w:ind w:left="1440" w:hanging="1440"/>
        <w:rPr>
          <w:rFonts w:ascii="Arial" w:eastAsia="MS Mincho" w:hAnsi="Arial" w:cs="Arial"/>
          <w:b/>
          <w:bCs/>
          <w:szCs w:val="22"/>
          <w:lang w:eastAsia="ja-JP"/>
        </w:rPr>
      </w:pPr>
      <w:r w:rsidRPr="008C2305">
        <w:rPr>
          <w:rFonts w:ascii="Arial" w:eastAsia="MS Mincho" w:hAnsi="Arial" w:cs="Arial"/>
          <w:b/>
          <w:bCs/>
          <w:szCs w:val="22"/>
          <w:lang w:eastAsia="ja-JP"/>
        </w:rPr>
        <w:t>Chongqing, China, October 14</w:t>
      </w:r>
      <w:r w:rsidRPr="008C2305">
        <w:rPr>
          <w:rFonts w:ascii="Arial" w:eastAsia="MS Mincho" w:hAnsi="Arial" w:cs="Arial"/>
          <w:b/>
          <w:bCs/>
          <w:szCs w:val="22"/>
          <w:vertAlign w:val="superscript"/>
          <w:lang w:eastAsia="ja-JP"/>
        </w:rPr>
        <w:t>th</w:t>
      </w:r>
      <w:r w:rsidRPr="008C2305">
        <w:rPr>
          <w:rFonts w:ascii="Arial" w:eastAsia="MS Mincho" w:hAnsi="Arial" w:cs="Arial"/>
          <w:b/>
          <w:bCs/>
          <w:szCs w:val="22"/>
          <w:lang w:eastAsia="ja-JP"/>
        </w:rPr>
        <w:t xml:space="preserve"> – 20</w:t>
      </w:r>
      <w:r w:rsidRPr="008C2305">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D16DFB7"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F1D9C">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418DAE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639E">
        <w:rPr>
          <w:b/>
          <w:color w:val="000000"/>
          <w:lang w:val="en-US"/>
        </w:rPr>
        <w:t>DCI Format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F38D669" w:rsidR="004D5BF4" w:rsidRDefault="004D5BF4" w:rsidP="004D5BF4">
      <w:pPr>
        <w:rPr>
          <w:rFonts w:eastAsia="MS Mincho"/>
          <w:lang w:val="en-US"/>
        </w:rPr>
      </w:pPr>
      <w:r>
        <w:rPr>
          <w:rFonts w:eastAsia="MS Mincho"/>
          <w:lang w:val="en-US"/>
        </w:rPr>
        <w:t>In RAN</w:t>
      </w:r>
      <w:r w:rsidR="00690683">
        <w:rPr>
          <w:rFonts w:eastAsia="MS Mincho"/>
          <w:lang w:val="en-US"/>
        </w:rPr>
        <w:t>1</w:t>
      </w:r>
      <w:r w:rsidR="007D59B0">
        <w:rPr>
          <w:rFonts w:eastAsia="MS Mincho"/>
          <w:lang w:val="en-US"/>
        </w:rPr>
        <w:t>#</w:t>
      </w:r>
      <w:r w:rsidR="00AA5907">
        <w:rPr>
          <w:rFonts w:eastAsia="MS Mincho"/>
          <w:lang w:val="en-US"/>
        </w:rPr>
        <w:t>9</w:t>
      </w:r>
      <w:r w:rsidR="008C2305">
        <w:rPr>
          <w:rFonts w:eastAsia="MS Mincho"/>
          <w:lang w:val="en-US"/>
        </w:rPr>
        <w:t>8</w:t>
      </w:r>
      <w:r>
        <w:rPr>
          <w:rFonts w:eastAsia="MS Mincho"/>
          <w:lang w:val="en-US"/>
        </w:rPr>
        <w:t xml:space="preserve">, we </w:t>
      </w:r>
      <w:r w:rsidR="00AA5907">
        <w:rPr>
          <w:rFonts w:eastAsia="MS Mincho"/>
          <w:lang w:val="en-US"/>
        </w:rPr>
        <w:t>agreed the following:</w:t>
      </w:r>
    </w:p>
    <w:p w14:paraId="399FADBA" w14:textId="77777777" w:rsidR="00FB0A5A" w:rsidRPr="00FB0A5A" w:rsidRDefault="00FB0A5A" w:rsidP="00FB0A5A">
      <w:pPr>
        <w:ind w:left="360"/>
        <w:rPr>
          <w:i/>
          <w:lang w:eastAsia="x-none"/>
        </w:rPr>
      </w:pPr>
      <w:r w:rsidRPr="00FB0A5A">
        <w:rPr>
          <w:i/>
          <w:highlight w:val="green"/>
          <w:lang w:eastAsia="x-none"/>
        </w:rPr>
        <w:t>Agreements</w:t>
      </w:r>
      <w:r w:rsidRPr="00FB0A5A">
        <w:rPr>
          <w:i/>
          <w:lang w:eastAsia="x-none"/>
        </w:rPr>
        <w:t>:</w:t>
      </w:r>
    </w:p>
    <w:p w14:paraId="3DD889A5" w14:textId="77777777" w:rsidR="00FB0A5A" w:rsidRPr="00FB0A5A" w:rsidRDefault="00FB0A5A" w:rsidP="00FB0A5A">
      <w:pPr>
        <w:numPr>
          <w:ilvl w:val="0"/>
          <w:numId w:val="37"/>
        </w:numPr>
        <w:spacing w:after="0"/>
        <w:ind w:left="1080"/>
        <w:rPr>
          <w:i/>
          <w:lang w:eastAsia="zh-CN"/>
        </w:rPr>
      </w:pPr>
      <w:r w:rsidRPr="00FB0A5A">
        <w:rPr>
          <w:i/>
          <w:lang w:eastAsia="zh-CN"/>
        </w:rPr>
        <w:t>Introduce one new DCI format for DL scheduling and one new DCI format for UL scheduling with configurable sizes for some fields in Rel-16.</w:t>
      </w:r>
    </w:p>
    <w:p w14:paraId="372546F3" w14:textId="77777777" w:rsidR="00FB0A5A" w:rsidRPr="00FB0A5A" w:rsidRDefault="00FB0A5A" w:rsidP="00FB0A5A">
      <w:pPr>
        <w:ind w:left="360"/>
        <w:rPr>
          <w:i/>
          <w:szCs w:val="22"/>
          <w:lang w:eastAsia="zh-CN"/>
        </w:rPr>
      </w:pPr>
    </w:p>
    <w:p w14:paraId="4172FC02" w14:textId="77777777" w:rsidR="00FB0A5A" w:rsidRPr="00FB0A5A" w:rsidRDefault="00FB0A5A" w:rsidP="00FB0A5A">
      <w:pPr>
        <w:ind w:left="360"/>
        <w:rPr>
          <w:i/>
          <w:highlight w:val="green"/>
        </w:rPr>
      </w:pPr>
      <w:r w:rsidRPr="00FB0A5A">
        <w:rPr>
          <w:i/>
          <w:highlight w:val="green"/>
        </w:rPr>
        <w:t>Agreements:</w:t>
      </w:r>
    </w:p>
    <w:p w14:paraId="733AB57C" w14:textId="77777777" w:rsidR="00FB0A5A" w:rsidRPr="00FB0A5A" w:rsidRDefault="00FB0A5A" w:rsidP="00FB0A5A">
      <w:pPr>
        <w:spacing w:after="60"/>
        <w:ind w:left="360"/>
        <w:rPr>
          <w:i/>
          <w:iCs/>
          <w:color w:val="000000"/>
          <w:kern w:val="2"/>
          <w:lang w:eastAsia="zh-CN"/>
        </w:rPr>
      </w:pPr>
      <w:r w:rsidRPr="00FB0A5A">
        <w:rPr>
          <w:i/>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2E51514E" w14:textId="77777777" w:rsidR="00FB0A5A" w:rsidRPr="00FB0A5A" w:rsidRDefault="00FB0A5A" w:rsidP="00FB0A5A">
      <w:pPr>
        <w:pStyle w:val="ListParagraph"/>
        <w:numPr>
          <w:ilvl w:val="0"/>
          <w:numId w:val="41"/>
        </w:numPr>
        <w:autoSpaceDE w:val="0"/>
        <w:autoSpaceDN w:val="0"/>
        <w:adjustRightInd w:val="0"/>
        <w:snapToGrid w:val="0"/>
        <w:spacing w:after="120"/>
        <w:ind w:left="1080"/>
        <w:jc w:val="both"/>
        <w:rPr>
          <w:i/>
          <w:iCs/>
          <w:color w:val="000000"/>
          <w:kern w:val="2"/>
          <w:lang w:eastAsia="zh-CN"/>
        </w:rPr>
      </w:pPr>
      <w:r w:rsidRPr="00FB0A5A">
        <w:rPr>
          <w:i/>
          <w:iCs/>
          <w:color w:val="000000"/>
          <w:kern w:val="2"/>
          <w:lang w:eastAsia="zh-CN"/>
        </w:rPr>
        <w:t>Combination (2, 1) (4, 1) (4, 2) (7, 1) (7, 2) are not additionally introduced</w:t>
      </w:r>
    </w:p>
    <w:p w14:paraId="00A8EF89" w14:textId="77777777" w:rsidR="00FB0A5A" w:rsidRPr="00FB0A5A" w:rsidRDefault="00FB0A5A" w:rsidP="00FB0A5A">
      <w:pPr>
        <w:pStyle w:val="ListParagraph"/>
        <w:numPr>
          <w:ilvl w:val="0"/>
          <w:numId w:val="41"/>
        </w:numPr>
        <w:autoSpaceDE w:val="0"/>
        <w:autoSpaceDN w:val="0"/>
        <w:adjustRightInd w:val="0"/>
        <w:snapToGrid w:val="0"/>
        <w:spacing w:after="120"/>
        <w:ind w:left="1080"/>
        <w:jc w:val="both"/>
        <w:rPr>
          <w:i/>
          <w:iCs/>
          <w:color w:val="000000"/>
          <w:kern w:val="2"/>
          <w:lang w:eastAsia="zh-CN"/>
        </w:rPr>
      </w:pPr>
      <w:r w:rsidRPr="00FB0A5A">
        <w:rPr>
          <w:i/>
          <w:iCs/>
          <w:color w:val="000000"/>
          <w:kern w:val="2"/>
          <w:lang w:eastAsia="zh-CN"/>
        </w:rPr>
        <w:t xml:space="preserve">FFS (3, 3) or (3,2) </w:t>
      </w:r>
    </w:p>
    <w:p w14:paraId="6BFA1835" w14:textId="77777777" w:rsidR="00FB0A5A" w:rsidRPr="00FB0A5A" w:rsidRDefault="00FB0A5A" w:rsidP="00FB0A5A">
      <w:pPr>
        <w:pStyle w:val="ListParagraph"/>
        <w:numPr>
          <w:ilvl w:val="0"/>
          <w:numId w:val="41"/>
        </w:numPr>
        <w:autoSpaceDE w:val="0"/>
        <w:autoSpaceDN w:val="0"/>
        <w:adjustRightInd w:val="0"/>
        <w:snapToGrid w:val="0"/>
        <w:spacing w:after="120"/>
        <w:ind w:left="1080"/>
        <w:jc w:val="both"/>
        <w:rPr>
          <w:i/>
          <w:iCs/>
          <w:color w:val="000000"/>
          <w:kern w:val="2"/>
          <w:lang w:eastAsia="zh-CN"/>
        </w:rPr>
      </w:pPr>
      <w:r w:rsidRPr="00FB0A5A">
        <w:rPr>
          <w:i/>
          <w:iCs/>
          <w:color w:val="000000"/>
          <w:kern w:val="2"/>
          <w:lang w:eastAsia="zh-CN"/>
        </w:rPr>
        <w:t xml:space="preserve">UE reports the supported combinations per SCS </w:t>
      </w:r>
    </w:p>
    <w:p w14:paraId="747FA75B" w14:textId="77777777" w:rsidR="00FB0A5A" w:rsidRPr="00FB0A5A" w:rsidRDefault="00FB0A5A" w:rsidP="00FB0A5A">
      <w:pPr>
        <w:pStyle w:val="ListParagraph"/>
        <w:numPr>
          <w:ilvl w:val="0"/>
          <w:numId w:val="41"/>
        </w:numPr>
        <w:autoSpaceDE w:val="0"/>
        <w:autoSpaceDN w:val="0"/>
        <w:adjustRightInd w:val="0"/>
        <w:snapToGrid w:val="0"/>
        <w:spacing w:after="120"/>
        <w:ind w:left="1080"/>
        <w:jc w:val="both"/>
        <w:rPr>
          <w:i/>
          <w:iCs/>
          <w:color w:val="000000"/>
          <w:kern w:val="2"/>
          <w:lang w:eastAsia="zh-CN"/>
        </w:rPr>
      </w:pPr>
      <w:r w:rsidRPr="00FB0A5A">
        <w:rPr>
          <w:i/>
          <w:iCs/>
          <w:color w:val="000000"/>
          <w:kern w:val="2"/>
          <w:lang w:eastAsia="zh-CN"/>
        </w:rPr>
        <w:t xml:space="preserve">(2, </w:t>
      </w:r>
      <w:proofErr w:type="gramStart"/>
      <w:r w:rsidRPr="00FB0A5A">
        <w:rPr>
          <w:i/>
          <w:iCs/>
          <w:color w:val="000000"/>
          <w:kern w:val="2"/>
          <w:lang w:eastAsia="zh-CN"/>
        </w:rPr>
        <w:t>2)(</w:t>
      </w:r>
      <w:proofErr w:type="gramEnd"/>
      <w:r w:rsidRPr="00FB0A5A">
        <w:rPr>
          <w:i/>
          <w:iCs/>
          <w:color w:val="000000"/>
          <w:kern w:val="2"/>
          <w:lang w:eastAsia="zh-CN"/>
        </w:rPr>
        <w:t>4, 3)(7, 3) applicable for 15 kHz and 30 kHz</w:t>
      </w:r>
    </w:p>
    <w:p w14:paraId="60444E69" w14:textId="77777777" w:rsidR="00FB0A5A" w:rsidRPr="00FB0A5A" w:rsidRDefault="00FB0A5A" w:rsidP="00FB0A5A">
      <w:pPr>
        <w:pStyle w:val="ListParagraph"/>
        <w:numPr>
          <w:ilvl w:val="1"/>
          <w:numId w:val="41"/>
        </w:numPr>
        <w:autoSpaceDE w:val="0"/>
        <w:autoSpaceDN w:val="0"/>
        <w:adjustRightInd w:val="0"/>
        <w:snapToGrid w:val="0"/>
        <w:spacing w:after="120"/>
        <w:ind w:left="1800"/>
        <w:jc w:val="both"/>
        <w:rPr>
          <w:i/>
          <w:iCs/>
          <w:color w:val="000000"/>
          <w:kern w:val="2"/>
          <w:lang w:eastAsia="zh-CN"/>
        </w:rPr>
      </w:pPr>
      <w:r w:rsidRPr="00FB0A5A">
        <w:rPr>
          <w:rFonts w:hint="eastAsia"/>
          <w:i/>
          <w:iCs/>
          <w:color w:val="000000"/>
          <w:kern w:val="2"/>
          <w:lang w:eastAsia="zh-CN"/>
        </w:rPr>
        <w:t>F</w:t>
      </w:r>
      <w:r w:rsidRPr="00FB0A5A">
        <w:rPr>
          <w:i/>
          <w:iCs/>
          <w:color w:val="000000"/>
          <w:kern w:val="2"/>
          <w:lang w:eastAsia="zh-CN"/>
        </w:rPr>
        <w:t>FS for 60 kHz and 120 kHz</w:t>
      </w:r>
    </w:p>
    <w:p w14:paraId="3780F1D4" w14:textId="77777777" w:rsidR="00FB0A5A" w:rsidRPr="00FB0A5A" w:rsidRDefault="00FB0A5A" w:rsidP="00FB0A5A">
      <w:pPr>
        <w:ind w:left="360"/>
        <w:rPr>
          <w:i/>
        </w:rPr>
      </w:pPr>
    </w:p>
    <w:p w14:paraId="68CA2A21" w14:textId="77777777" w:rsidR="00FB0A5A" w:rsidRPr="00FB0A5A" w:rsidRDefault="00FB0A5A" w:rsidP="00FB0A5A">
      <w:pPr>
        <w:ind w:left="360"/>
        <w:rPr>
          <w:i/>
        </w:rPr>
      </w:pPr>
      <w:r w:rsidRPr="00FB0A5A">
        <w:rPr>
          <w:i/>
          <w:highlight w:val="green"/>
        </w:rPr>
        <w:t>Agreements</w:t>
      </w:r>
      <w:r w:rsidRPr="00FB0A5A">
        <w:rPr>
          <w:i/>
        </w:rPr>
        <w:t>:</w:t>
      </w:r>
    </w:p>
    <w:p w14:paraId="2EBF2535" w14:textId="77777777" w:rsidR="00FB0A5A" w:rsidRPr="00FB0A5A" w:rsidRDefault="00FB0A5A" w:rsidP="00FB0A5A">
      <w:pPr>
        <w:spacing w:beforeLines="100" w:before="240"/>
        <w:ind w:left="360"/>
        <w:rPr>
          <w:i/>
          <w:iCs/>
          <w:lang w:eastAsia="zh-CN"/>
        </w:rPr>
      </w:pPr>
      <w:r w:rsidRPr="00FB0A5A">
        <w:rPr>
          <w:i/>
          <w:iCs/>
          <w:lang w:eastAsia="zh-CN"/>
        </w:rPr>
        <w:t xml:space="preserve">For a Rel-16 UE supporting enhanced PDCCH monitoring capability, down-select between option 1 and option 2: </w:t>
      </w:r>
    </w:p>
    <w:p w14:paraId="76032756" w14:textId="77777777" w:rsidR="00FB0A5A" w:rsidRPr="00FB0A5A" w:rsidRDefault="00FB0A5A" w:rsidP="00FB0A5A">
      <w:pPr>
        <w:pStyle w:val="BodyText"/>
        <w:numPr>
          <w:ilvl w:val="0"/>
          <w:numId w:val="42"/>
        </w:numPr>
        <w:spacing w:after="120"/>
        <w:ind w:left="1200"/>
        <w:jc w:val="both"/>
        <w:rPr>
          <w:i/>
          <w:iCs/>
          <w:color w:val="auto"/>
          <w:lang w:eastAsia="zh-CN"/>
        </w:rPr>
      </w:pPr>
      <w:r w:rsidRPr="00FB0A5A">
        <w:rPr>
          <w:b/>
          <w:i/>
          <w:iCs/>
          <w:color w:val="auto"/>
          <w:lang w:eastAsia="zh-CN"/>
        </w:rPr>
        <w:t>Option 1</w:t>
      </w:r>
      <w:r w:rsidRPr="00FB0A5A">
        <w:rPr>
          <w:i/>
          <w:iCs/>
          <w:color w:val="auto"/>
          <w:lang w:eastAsia="zh-CN"/>
        </w:rPr>
        <w:t xml:space="preserve">: PDCCH monitoring based on Rel-15 capability for </w:t>
      </w:r>
      <w:proofErr w:type="spellStart"/>
      <w:r w:rsidRPr="00FB0A5A">
        <w:rPr>
          <w:i/>
          <w:iCs/>
          <w:color w:val="auto"/>
          <w:lang w:eastAsia="zh-CN"/>
        </w:rPr>
        <w:t>eMBB</w:t>
      </w:r>
      <w:proofErr w:type="spellEnd"/>
      <w:r w:rsidRPr="00FB0A5A">
        <w:rPr>
          <w:i/>
          <w:iCs/>
          <w:color w:val="auto"/>
          <w:lang w:eastAsia="zh-CN"/>
        </w:rPr>
        <w:t xml:space="preserve"> and PDCCH monitoring based on Rel-16 capability for URLLC can be configured to a UE on the same carrier</w:t>
      </w:r>
    </w:p>
    <w:p w14:paraId="7208FA36" w14:textId="77777777" w:rsidR="00FB0A5A" w:rsidRPr="00FB0A5A" w:rsidRDefault="00FB0A5A" w:rsidP="00FB0A5A">
      <w:pPr>
        <w:pStyle w:val="BodyText"/>
        <w:numPr>
          <w:ilvl w:val="1"/>
          <w:numId w:val="42"/>
        </w:numPr>
        <w:spacing w:after="120"/>
        <w:ind w:left="1620"/>
        <w:jc w:val="both"/>
        <w:rPr>
          <w:i/>
          <w:iCs/>
          <w:color w:val="auto"/>
          <w:lang w:eastAsia="zh-CN"/>
        </w:rPr>
      </w:pPr>
      <w:r w:rsidRPr="00FB0A5A">
        <w:rPr>
          <w:i/>
          <w:iCs/>
          <w:color w:val="auto"/>
          <w:lang w:eastAsia="zh-CN"/>
        </w:rPr>
        <w:t xml:space="preserve">UE monitors PDCCH for </w:t>
      </w:r>
      <w:proofErr w:type="spellStart"/>
      <w:r w:rsidRPr="00FB0A5A">
        <w:rPr>
          <w:i/>
          <w:iCs/>
          <w:color w:val="auto"/>
          <w:lang w:eastAsia="zh-CN"/>
        </w:rPr>
        <w:t>eMBB</w:t>
      </w:r>
      <w:proofErr w:type="spellEnd"/>
      <w:r w:rsidRPr="00FB0A5A">
        <w:rPr>
          <w:i/>
          <w:iCs/>
          <w:color w:val="auto"/>
          <w:lang w:eastAsia="zh-CN"/>
        </w:rPr>
        <w:t xml:space="preserve"> following reported Rel-15 capability, and monitors PDCCH for URLLC following reported Rel-16 capability </w:t>
      </w:r>
    </w:p>
    <w:p w14:paraId="5D73E014" w14:textId="77777777" w:rsidR="00FB0A5A" w:rsidRPr="00FB0A5A" w:rsidRDefault="00FB0A5A" w:rsidP="00FB0A5A">
      <w:pPr>
        <w:pStyle w:val="BodyText"/>
        <w:numPr>
          <w:ilvl w:val="1"/>
          <w:numId w:val="42"/>
        </w:numPr>
        <w:spacing w:after="120"/>
        <w:ind w:left="1620"/>
        <w:jc w:val="both"/>
        <w:rPr>
          <w:i/>
          <w:iCs/>
          <w:color w:val="auto"/>
          <w:lang w:eastAsia="zh-CN"/>
        </w:rPr>
      </w:pPr>
      <w:r w:rsidRPr="00FB0A5A">
        <w:rPr>
          <w:i/>
          <w:iCs/>
          <w:color w:val="auto"/>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41683FD9" w14:textId="77777777" w:rsidR="00FB0A5A" w:rsidRPr="00FB0A5A" w:rsidRDefault="00FB0A5A" w:rsidP="00FB0A5A">
      <w:pPr>
        <w:pStyle w:val="BodyText"/>
        <w:numPr>
          <w:ilvl w:val="0"/>
          <w:numId w:val="42"/>
        </w:numPr>
        <w:spacing w:after="120"/>
        <w:ind w:left="1200"/>
        <w:jc w:val="both"/>
        <w:rPr>
          <w:i/>
          <w:iCs/>
          <w:color w:val="auto"/>
          <w:lang w:eastAsia="zh-CN"/>
        </w:rPr>
      </w:pPr>
      <w:r w:rsidRPr="00FB0A5A">
        <w:rPr>
          <w:b/>
          <w:i/>
          <w:iCs/>
          <w:color w:val="auto"/>
          <w:lang w:eastAsia="zh-CN"/>
        </w:rPr>
        <w:t>Option 2</w:t>
      </w:r>
      <w:r w:rsidRPr="00FB0A5A">
        <w:rPr>
          <w:rFonts w:hint="eastAsia"/>
          <w:i/>
          <w:iCs/>
          <w:color w:val="auto"/>
          <w:lang w:eastAsia="zh-CN"/>
        </w:rPr>
        <w:t>:</w:t>
      </w:r>
      <w:r w:rsidRPr="00FB0A5A">
        <w:rPr>
          <w:i/>
          <w:iCs/>
          <w:color w:val="auto"/>
          <w:lang w:eastAsia="zh-CN"/>
        </w:rPr>
        <w:t xml:space="preserve"> PDCCH monitoring for both </w:t>
      </w:r>
      <w:proofErr w:type="spellStart"/>
      <w:r w:rsidRPr="00FB0A5A">
        <w:rPr>
          <w:i/>
          <w:iCs/>
          <w:color w:val="auto"/>
          <w:lang w:eastAsia="zh-CN"/>
        </w:rPr>
        <w:t>eMBB</w:t>
      </w:r>
      <w:proofErr w:type="spellEnd"/>
      <w:r w:rsidRPr="00FB0A5A">
        <w:rPr>
          <w:i/>
          <w:iCs/>
          <w:color w:val="auto"/>
          <w:lang w:eastAsia="zh-CN"/>
        </w:rPr>
        <w:t xml:space="preserve"> and URLLC can be configured based on either Rel-15 capability or Rel-16 capability</w:t>
      </w:r>
    </w:p>
    <w:p w14:paraId="576646D7" w14:textId="77777777" w:rsidR="00FB0A5A" w:rsidRPr="00FB0A5A" w:rsidRDefault="00FB0A5A" w:rsidP="00FB0A5A">
      <w:pPr>
        <w:pStyle w:val="BodyText"/>
        <w:numPr>
          <w:ilvl w:val="1"/>
          <w:numId w:val="42"/>
        </w:numPr>
        <w:spacing w:after="120"/>
        <w:ind w:left="1620"/>
        <w:jc w:val="both"/>
        <w:rPr>
          <w:i/>
          <w:iCs/>
          <w:color w:val="auto"/>
          <w:lang w:eastAsia="zh-CN"/>
        </w:rPr>
      </w:pPr>
      <w:r w:rsidRPr="00FB0A5A">
        <w:rPr>
          <w:i/>
          <w:iCs/>
          <w:color w:val="auto"/>
          <w:lang w:eastAsia="zh-CN"/>
        </w:rPr>
        <w:t xml:space="preserve">  </w:t>
      </w:r>
      <w:proofErr w:type="spellStart"/>
      <w:r w:rsidRPr="00FB0A5A">
        <w:rPr>
          <w:i/>
          <w:iCs/>
          <w:color w:val="auto"/>
          <w:lang w:eastAsia="zh-CN"/>
        </w:rPr>
        <w:t>gNB</w:t>
      </w:r>
      <w:proofErr w:type="spellEnd"/>
      <w:r w:rsidRPr="00FB0A5A">
        <w:rPr>
          <w:i/>
          <w:iCs/>
          <w:color w:val="auto"/>
          <w:lang w:eastAsia="zh-CN"/>
        </w:rPr>
        <w:t xml:space="preserve"> configures which capability is used </w:t>
      </w:r>
    </w:p>
    <w:p w14:paraId="09B88C3D" w14:textId="77777777" w:rsidR="00FB0A5A" w:rsidRPr="00FB0A5A" w:rsidRDefault="00FB0A5A" w:rsidP="00FB0A5A">
      <w:pPr>
        <w:pStyle w:val="BodyText"/>
        <w:numPr>
          <w:ilvl w:val="1"/>
          <w:numId w:val="42"/>
        </w:numPr>
        <w:spacing w:after="120"/>
        <w:ind w:left="1620"/>
        <w:jc w:val="both"/>
        <w:rPr>
          <w:i/>
          <w:iCs/>
          <w:color w:val="auto"/>
          <w:lang w:eastAsia="zh-CN"/>
        </w:rPr>
      </w:pPr>
      <w:r w:rsidRPr="00FB0A5A">
        <w:rPr>
          <w:i/>
          <w:iCs/>
          <w:color w:val="auto"/>
          <w:lang w:eastAsia="zh-CN"/>
        </w:rPr>
        <w:t>For Rel-16 PDCCH monitoring capability,</w:t>
      </w:r>
    </w:p>
    <w:p w14:paraId="07E8A361" w14:textId="77777777" w:rsidR="00FB0A5A" w:rsidRPr="00FB0A5A" w:rsidRDefault="00FB0A5A" w:rsidP="00FB0A5A">
      <w:pPr>
        <w:pStyle w:val="BodyText"/>
        <w:numPr>
          <w:ilvl w:val="2"/>
          <w:numId w:val="42"/>
        </w:numPr>
        <w:spacing w:after="120"/>
        <w:ind w:left="2040"/>
        <w:jc w:val="both"/>
        <w:rPr>
          <w:i/>
          <w:iCs/>
          <w:color w:val="auto"/>
          <w:lang w:eastAsia="zh-CN"/>
        </w:rPr>
      </w:pPr>
      <w:r w:rsidRPr="00FB0A5A">
        <w:rPr>
          <w:i/>
          <w:iCs/>
          <w:color w:val="auto"/>
          <w:lang w:eastAsia="zh-CN"/>
        </w:rPr>
        <w:t xml:space="preserve">The limit C on the maximum number of non-overlapping CCEs for channel estimation per PDCCH monitoring span is the same across different spans within a slot, each span can cover CSS and/or USS  </w:t>
      </w:r>
    </w:p>
    <w:p w14:paraId="02D081F4" w14:textId="77777777" w:rsidR="00FB0A5A" w:rsidRPr="00FB0A5A" w:rsidRDefault="00FB0A5A" w:rsidP="00FB0A5A">
      <w:pPr>
        <w:pStyle w:val="BodyText"/>
        <w:numPr>
          <w:ilvl w:val="0"/>
          <w:numId w:val="42"/>
        </w:numPr>
        <w:spacing w:after="120"/>
        <w:ind w:left="1200"/>
        <w:jc w:val="both"/>
        <w:rPr>
          <w:i/>
          <w:iCs/>
          <w:color w:val="auto"/>
          <w:lang w:eastAsia="zh-CN"/>
        </w:rPr>
      </w:pPr>
      <w:r w:rsidRPr="00FB0A5A">
        <w:rPr>
          <w:i/>
          <w:iCs/>
          <w:color w:val="auto"/>
          <w:lang w:eastAsia="zh-CN"/>
        </w:rPr>
        <w:t>Note: the value C is to be separately discussed</w:t>
      </w:r>
    </w:p>
    <w:p w14:paraId="14162C95" w14:textId="77777777" w:rsidR="00FB0A5A" w:rsidRPr="00FB0A5A" w:rsidRDefault="00FB0A5A" w:rsidP="00FB0A5A">
      <w:pPr>
        <w:ind w:left="360"/>
        <w:rPr>
          <w:i/>
        </w:rPr>
      </w:pPr>
    </w:p>
    <w:p w14:paraId="251F13B4" w14:textId="77777777" w:rsidR="00FB0A5A" w:rsidRPr="00FB0A5A" w:rsidRDefault="00FB0A5A" w:rsidP="00FB0A5A">
      <w:pPr>
        <w:ind w:left="360"/>
        <w:rPr>
          <w:i/>
        </w:rPr>
      </w:pPr>
      <w:r w:rsidRPr="00FB0A5A">
        <w:rPr>
          <w:i/>
          <w:highlight w:val="green"/>
        </w:rPr>
        <w:lastRenderedPageBreak/>
        <w:t>Agreements</w:t>
      </w:r>
      <w:r w:rsidRPr="00FB0A5A">
        <w:rPr>
          <w:i/>
        </w:rPr>
        <w:t>:</w:t>
      </w:r>
    </w:p>
    <w:p w14:paraId="3443B882" w14:textId="77777777" w:rsidR="00FB0A5A" w:rsidRPr="00FB0A5A" w:rsidRDefault="00FB0A5A" w:rsidP="00FB0A5A">
      <w:pPr>
        <w:spacing w:after="60"/>
        <w:ind w:left="360"/>
        <w:rPr>
          <w:i/>
          <w:iCs/>
          <w:color w:val="000000"/>
          <w:kern w:val="2"/>
          <w:lang w:eastAsia="zh-CN"/>
        </w:rPr>
      </w:pPr>
      <w:r w:rsidRPr="00FB0A5A">
        <w:rPr>
          <w:i/>
          <w:iCs/>
          <w:color w:val="000000"/>
          <w:kern w:val="2"/>
          <w:lang w:eastAsia="zh-CN"/>
        </w:rPr>
        <w:t xml:space="preserve">If UE reports the support of more than one combination of </w:t>
      </w:r>
      <w:proofErr w:type="gramStart"/>
      <w:r w:rsidRPr="00FB0A5A">
        <w:rPr>
          <w:i/>
          <w:iCs/>
          <w:color w:val="000000"/>
          <w:kern w:val="2"/>
          <w:lang w:eastAsia="zh-CN"/>
        </w:rPr>
        <w:t>C(</w:t>
      </w:r>
      <w:proofErr w:type="gramEnd"/>
      <w:r w:rsidRPr="00FB0A5A">
        <w:rPr>
          <w:i/>
          <w:iCs/>
          <w:color w:val="000000"/>
          <w:kern w:val="2"/>
          <w:lang w:eastAsia="zh-CN"/>
        </w:rPr>
        <w:t xml:space="preserve">X, Y) for a given SCS, and if multiple combinations of C(X, Y) are valid for the span pattern, the maximum value of C of the valid combinations is applied.  </w:t>
      </w:r>
    </w:p>
    <w:p w14:paraId="250A1E15" w14:textId="77777777" w:rsidR="00FB0A5A" w:rsidRPr="00FB0A5A" w:rsidRDefault="00FB0A5A" w:rsidP="00FB0A5A">
      <w:pPr>
        <w:pStyle w:val="ListParagraph"/>
        <w:numPr>
          <w:ilvl w:val="0"/>
          <w:numId w:val="42"/>
        </w:numPr>
        <w:autoSpaceDE w:val="0"/>
        <w:autoSpaceDN w:val="0"/>
        <w:adjustRightInd w:val="0"/>
        <w:snapToGrid w:val="0"/>
        <w:spacing w:after="120"/>
        <w:ind w:left="1200"/>
        <w:jc w:val="both"/>
        <w:rPr>
          <w:i/>
          <w:iCs/>
          <w:lang w:eastAsia="zh-CN"/>
        </w:rPr>
      </w:pPr>
      <w:r w:rsidRPr="00FB0A5A">
        <w:rPr>
          <w:i/>
          <w:iCs/>
        </w:rPr>
        <w:t xml:space="preserve">A combination </w:t>
      </w:r>
      <w:proofErr w:type="gramStart"/>
      <w:r w:rsidRPr="00FB0A5A">
        <w:rPr>
          <w:i/>
          <w:iCs/>
        </w:rPr>
        <w:t>C(</w:t>
      </w:r>
      <w:proofErr w:type="gramEnd"/>
      <w:r w:rsidRPr="00FB0A5A">
        <w:rPr>
          <w:i/>
          <w:iCs/>
        </w:rPr>
        <w:t>X, Y) is valid if the span pattern satisfies X and Y of the given combination in every slot, including cross slot boundary</w:t>
      </w:r>
    </w:p>
    <w:p w14:paraId="1030D0B7" w14:textId="77777777" w:rsidR="00FB0A5A" w:rsidRPr="00FB0A5A" w:rsidRDefault="00FB0A5A" w:rsidP="00FB0A5A">
      <w:pPr>
        <w:pStyle w:val="ListParagraph"/>
        <w:numPr>
          <w:ilvl w:val="0"/>
          <w:numId w:val="42"/>
        </w:numPr>
        <w:autoSpaceDE w:val="0"/>
        <w:autoSpaceDN w:val="0"/>
        <w:adjustRightInd w:val="0"/>
        <w:snapToGrid w:val="0"/>
        <w:spacing w:after="120"/>
        <w:ind w:left="1200"/>
        <w:jc w:val="both"/>
        <w:rPr>
          <w:i/>
          <w:iCs/>
          <w:lang w:eastAsia="zh-CN"/>
        </w:rPr>
      </w:pPr>
      <w:r w:rsidRPr="00FB0A5A">
        <w:rPr>
          <w:i/>
          <w:iCs/>
        </w:rPr>
        <w:t>FFS the impact from empty span(s) on the span pattern</w:t>
      </w:r>
    </w:p>
    <w:p w14:paraId="3BC3C217" w14:textId="77777777" w:rsidR="00FB0A5A" w:rsidRPr="00FB0A5A" w:rsidRDefault="00FB0A5A" w:rsidP="00FB0A5A">
      <w:pPr>
        <w:ind w:left="360"/>
        <w:rPr>
          <w:i/>
        </w:rPr>
      </w:pPr>
      <w:r w:rsidRPr="00FB0A5A">
        <w:rPr>
          <w:i/>
          <w:highlight w:val="green"/>
        </w:rPr>
        <w:t>Agreements</w:t>
      </w:r>
      <w:r w:rsidRPr="00FB0A5A">
        <w:rPr>
          <w:i/>
        </w:rPr>
        <w:t>:</w:t>
      </w:r>
    </w:p>
    <w:p w14:paraId="5FF9BC61" w14:textId="77777777" w:rsidR="00FB0A5A" w:rsidRPr="00FB0A5A" w:rsidRDefault="00FB0A5A" w:rsidP="00FB0A5A">
      <w:pPr>
        <w:spacing w:after="60"/>
        <w:ind w:left="360"/>
        <w:rPr>
          <w:i/>
          <w:color w:val="000000"/>
          <w:kern w:val="2"/>
          <w:lang w:eastAsia="zh-CN"/>
        </w:rPr>
      </w:pPr>
      <w:r w:rsidRPr="00FB0A5A">
        <w:rPr>
          <w:i/>
          <w:color w:val="000000"/>
          <w:kern w:val="2"/>
          <w:lang w:eastAsia="zh-CN"/>
        </w:rPr>
        <w:t>Support separate configurable number of bits (2 or 3 or 4 bits) for “HARQ process number” for new DCI formats for scheduling DL and UL</w:t>
      </w:r>
    </w:p>
    <w:p w14:paraId="0ABCAEC8" w14:textId="77777777" w:rsidR="00FB0A5A" w:rsidRPr="00FB0A5A" w:rsidRDefault="00FB0A5A" w:rsidP="00FB0A5A">
      <w:pPr>
        <w:numPr>
          <w:ilvl w:val="0"/>
          <w:numId w:val="43"/>
        </w:numPr>
        <w:spacing w:after="60"/>
        <w:ind w:left="1080"/>
        <w:rPr>
          <w:i/>
          <w:color w:val="000000"/>
          <w:kern w:val="2"/>
          <w:lang w:eastAsia="zh-CN"/>
        </w:rPr>
      </w:pPr>
      <w:r w:rsidRPr="00FB0A5A">
        <w:rPr>
          <w:i/>
          <w:color w:val="000000"/>
          <w:kern w:val="2"/>
          <w:lang w:eastAsia="zh-CN"/>
        </w:rPr>
        <w:t>FFS 0 or 1 bits</w:t>
      </w:r>
    </w:p>
    <w:p w14:paraId="0389E475" w14:textId="77777777" w:rsidR="00FB0A5A" w:rsidRDefault="00FB0A5A" w:rsidP="00FB0A5A"/>
    <w:p w14:paraId="56F9586F" w14:textId="5F5245C8" w:rsidR="00DF7A12" w:rsidRDefault="00DE5E32" w:rsidP="00DF7A12">
      <w:pPr>
        <w:spacing w:after="0"/>
        <w:rPr>
          <w:bCs/>
          <w:lang w:val="en-US"/>
        </w:rPr>
      </w:pPr>
      <w:r>
        <w:rPr>
          <w:bCs/>
          <w:lang w:val="en-US"/>
        </w:rPr>
        <w:t>We further agreed the following in an email discussion [98-NR-13]:</w:t>
      </w:r>
    </w:p>
    <w:p w14:paraId="724BF540" w14:textId="670C9228" w:rsidR="00DE5E32" w:rsidRDefault="00DE5E32" w:rsidP="00DF7A12">
      <w:pPr>
        <w:spacing w:after="0"/>
        <w:rPr>
          <w:bCs/>
          <w:lang w:val="en-US"/>
        </w:rPr>
      </w:pPr>
    </w:p>
    <w:p w14:paraId="2E7583E6" w14:textId="77777777" w:rsidR="00DE5E32" w:rsidRPr="00EA0880" w:rsidRDefault="00DE5E32" w:rsidP="00DE5E32">
      <w:pPr>
        <w:ind w:left="360"/>
        <w:rPr>
          <w:i/>
          <w:szCs w:val="22"/>
          <w:lang w:val="en-US" w:eastAsia="en-GB"/>
        </w:rPr>
      </w:pPr>
      <w:r w:rsidRPr="00EA0880">
        <w:rPr>
          <w:i/>
          <w:szCs w:val="22"/>
          <w:highlight w:val="green"/>
          <w:lang w:val="en-US"/>
        </w:rPr>
        <w:t>Agreements</w:t>
      </w:r>
      <w:r w:rsidRPr="00EA0880">
        <w:rPr>
          <w:i/>
          <w:szCs w:val="22"/>
          <w:lang w:val="en-US"/>
        </w:rPr>
        <w:t>:</w:t>
      </w:r>
    </w:p>
    <w:p w14:paraId="6D51CBB2" w14:textId="77777777" w:rsidR="00DE5E32" w:rsidRPr="00EA0880" w:rsidRDefault="00DE5E32" w:rsidP="00DE5E32">
      <w:pPr>
        <w:pStyle w:val="ListParagraph"/>
        <w:numPr>
          <w:ilvl w:val="0"/>
          <w:numId w:val="44"/>
        </w:numPr>
        <w:spacing w:after="0"/>
        <w:ind w:left="1080"/>
        <w:contextualSpacing w:val="0"/>
        <w:rPr>
          <w:rFonts w:eastAsia="Times New Roman"/>
          <w:i/>
          <w:szCs w:val="22"/>
          <w:lang w:val="en-US"/>
        </w:rPr>
      </w:pPr>
      <w:r w:rsidRPr="00EA0880">
        <w:rPr>
          <w:rFonts w:eastAsia="Times New Roman"/>
          <w:i/>
          <w:szCs w:val="22"/>
          <w:lang w:val="en-US"/>
        </w:rPr>
        <w:t xml:space="preserve">For resource allocation type 1 for frequency domain resource assignment for the DCI format scheduling Rel-16 URLLC, support the following modification compared to Rel-15: </w:t>
      </w:r>
    </w:p>
    <w:p w14:paraId="76004DE4" w14:textId="77777777" w:rsidR="00DE5E32" w:rsidRPr="00EA0880" w:rsidRDefault="00DE5E32" w:rsidP="00DE5E32">
      <w:pPr>
        <w:pStyle w:val="ListParagraph"/>
        <w:numPr>
          <w:ilvl w:val="1"/>
          <w:numId w:val="44"/>
        </w:numPr>
        <w:spacing w:after="0"/>
        <w:ind w:left="1800"/>
        <w:contextualSpacing w:val="0"/>
        <w:rPr>
          <w:rFonts w:eastAsia="Times New Roman"/>
          <w:i/>
          <w:szCs w:val="22"/>
          <w:lang w:val="en-US"/>
        </w:rPr>
      </w:pPr>
      <w:r w:rsidRPr="00EA0880">
        <w:rPr>
          <w:rFonts w:eastAsia="Times New Roman"/>
          <w:i/>
          <w:szCs w:val="22"/>
          <w:lang w:val="en-US"/>
        </w:rPr>
        <w:t xml:space="preserve">A single configurable scheduling granularity applicable for both the starting point and length indication. </w:t>
      </w:r>
    </w:p>
    <w:p w14:paraId="04B92921" w14:textId="77777777" w:rsidR="00DE5E32" w:rsidRPr="00EA0880" w:rsidRDefault="00DE5E32" w:rsidP="00DE5E32">
      <w:pPr>
        <w:pStyle w:val="ListParagraph"/>
        <w:numPr>
          <w:ilvl w:val="2"/>
          <w:numId w:val="44"/>
        </w:numPr>
        <w:spacing w:after="0"/>
        <w:ind w:left="2520"/>
        <w:contextualSpacing w:val="0"/>
        <w:rPr>
          <w:rFonts w:eastAsia="Times New Roman"/>
          <w:i/>
          <w:szCs w:val="22"/>
          <w:lang w:val="en-US"/>
        </w:rPr>
      </w:pPr>
      <w:r w:rsidRPr="00EA0880">
        <w:rPr>
          <w:rFonts w:eastAsia="Times New Roman"/>
          <w:i/>
          <w:szCs w:val="22"/>
          <w:lang w:val="en-US"/>
        </w:rPr>
        <w:t>A new RRC parameter to configure the scheduling granularity</w:t>
      </w:r>
    </w:p>
    <w:p w14:paraId="684FF6C0" w14:textId="5EBA0501" w:rsidR="00DE5E32" w:rsidRDefault="00DE5E32" w:rsidP="00DF7A12">
      <w:pPr>
        <w:spacing w:after="0"/>
        <w:rPr>
          <w:bCs/>
          <w:lang w:val="en-US"/>
        </w:rPr>
      </w:pPr>
    </w:p>
    <w:p w14:paraId="215EEEBA" w14:textId="51F9169B" w:rsidR="00DE5E32" w:rsidRDefault="00DE5E32" w:rsidP="00DF7A12">
      <w:pPr>
        <w:spacing w:after="0"/>
        <w:rPr>
          <w:bCs/>
          <w:lang w:val="en-US"/>
        </w:rPr>
      </w:pPr>
    </w:p>
    <w:p w14:paraId="5BE52B9F" w14:textId="77777777" w:rsidR="00DE5E32" w:rsidRDefault="00DE5E32" w:rsidP="00DF7A12">
      <w:pPr>
        <w:spacing w:after="0"/>
        <w:rPr>
          <w:bCs/>
          <w:lang w:val="en-US"/>
        </w:rPr>
      </w:pPr>
    </w:p>
    <w:p w14:paraId="422FF475" w14:textId="36FEE3D5" w:rsidR="00855F39" w:rsidRDefault="004D5BF4" w:rsidP="00855F39">
      <w:pPr>
        <w:rPr>
          <w:rFonts w:eastAsia="MS Mincho"/>
          <w:lang w:val="en-US"/>
        </w:rPr>
      </w:pPr>
      <w:r>
        <w:rPr>
          <w:rFonts w:eastAsia="MS Mincho"/>
          <w:lang w:val="en-US"/>
        </w:rPr>
        <w:t xml:space="preserve">This contribution </w:t>
      </w:r>
      <w:r w:rsidR="00EA0880">
        <w:rPr>
          <w:rFonts w:eastAsia="MS Mincho"/>
          <w:lang w:val="en-US"/>
        </w:rPr>
        <w:t xml:space="preserve">is a revision of R1-1908777 and </w:t>
      </w:r>
      <w:r w:rsidR="00D24596">
        <w:rPr>
          <w:rFonts w:eastAsia="MS Mincho"/>
          <w:lang w:val="en-US"/>
        </w:rPr>
        <w:t>provide</w:t>
      </w:r>
      <w:r w:rsidR="005B2791">
        <w:rPr>
          <w:rFonts w:eastAsia="MS Mincho"/>
          <w:lang w:val="en-US"/>
        </w:rPr>
        <w:t>s</w:t>
      </w:r>
      <w:r w:rsidR="00D24596">
        <w:rPr>
          <w:rFonts w:eastAsia="MS Mincho"/>
          <w:lang w:val="en-US"/>
        </w:rPr>
        <w:t xml:space="preserve"> further considerations on </w:t>
      </w:r>
      <w:r w:rsidR="00877AF1">
        <w:rPr>
          <w:rFonts w:eastAsia="MS Mincho"/>
          <w:lang w:val="en-US"/>
        </w:rPr>
        <w:t>the DCI format for URLLC operations</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23EEFFEA" w14:textId="35301E18" w:rsidR="00203776" w:rsidRDefault="00203776" w:rsidP="00203776">
      <w:pPr>
        <w:rPr>
          <w:rFonts w:eastAsia="MS Mincho"/>
          <w:lang w:val="en-US"/>
        </w:rPr>
      </w:pPr>
      <w:r>
        <w:rPr>
          <w:rFonts w:eastAsia="MS Mincho"/>
          <w:lang w:val="en-US"/>
        </w:rPr>
        <w:t>The DCI parameters agreed to be considered for size reduction [1] are:</w:t>
      </w:r>
    </w:p>
    <w:p w14:paraId="4DA56D56" w14:textId="642C9F37"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Frequency domain resource assignment (FDRA)</w:t>
      </w:r>
    </w:p>
    <w:p w14:paraId="5E606AAF" w14:textId="5E75B1A3"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Time domain resource assignment (TDRA)</w:t>
      </w:r>
    </w:p>
    <w:p w14:paraId="33E9B1BD" w14:textId="44327314"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Modulation and coding scheme (MCS)</w:t>
      </w:r>
    </w:p>
    <w:p w14:paraId="2754644C" w14:textId="5C5771EB" w:rsidR="00203776" w:rsidRPr="00EA0880" w:rsidRDefault="00203776" w:rsidP="00203776">
      <w:pPr>
        <w:pStyle w:val="ListParagraph"/>
        <w:numPr>
          <w:ilvl w:val="0"/>
          <w:numId w:val="38"/>
        </w:numPr>
        <w:autoSpaceDE w:val="0"/>
        <w:autoSpaceDN w:val="0"/>
        <w:adjustRightInd w:val="0"/>
        <w:snapToGrid w:val="0"/>
        <w:spacing w:after="120"/>
        <w:rPr>
          <w:i/>
          <w:color w:val="000000"/>
          <w:kern w:val="2"/>
          <w:lang w:eastAsia="zh-CN"/>
        </w:rPr>
      </w:pPr>
      <w:r w:rsidRPr="00EA0880">
        <w:rPr>
          <w:i/>
          <w:color w:val="000000"/>
          <w:kern w:val="2"/>
          <w:lang w:eastAsia="zh-CN"/>
        </w:rPr>
        <w:t>HARQ process number</w:t>
      </w:r>
      <w:r w:rsidR="00EA0880" w:rsidRPr="00EA0880">
        <w:rPr>
          <w:i/>
          <w:color w:val="000000"/>
          <w:kern w:val="2"/>
          <w:lang w:eastAsia="zh-CN"/>
        </w:rPr>
        <w:t xml:space="preserve"> (agreed in RAN1#98)</w:t>
      </w:r>
    </w:p>
    <w:p w14:paraId="6B9879C5" w14:textId="5190C393"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Redundancy version (RV)</w:t>
      </w:r>
    </w:p>
    <w:p w14:paraId="53846351" w14:textId="1727B33E"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PUCCH resource indicator (PRI)</w:t>
      </w:r>
    </w:p>
    <w:p w14:paraId="18E2F1DF" w14:textId="77777777"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PDSCH-to-</w:t>
      </w:r>
      <w:proofErr w:type="spellStart"/>
      <w:r>
        <w:rPr>
          <w:color w:val="000000"/>
          <w:kern w:val="2"/>
          <w:lang w:eastAsia="zh-CN"/>
        </w:rPr>
        <w:t>HARQ_feedback</w:t>
      </w:r>
      <w:proofErr w:type="spellEnd"/>
      <w:r>
        <w:rPr>
          <w:color w:val="000000"/>
          <w:kern w:val="2"/>
          <w:lang w:eastAsia="zh-CN"/>
        </w:rPr>
        <w:t xml:space="preserve"> timing indicator</w:t>
      </w:r>
    </w:p>
    <w:p w14:paraId="5565AA83" w14:textId="69142092"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Downlink assignment index (DAI)</w:t>
      </w:r>
    </w:p>
    <w:p w14:paraId="323B5EA7" w14:textId="77777777" w:rsidR="00203776" w:rsidRDefault="00203776" w:rsidP="00203776">
      <w:pPr>
        <w:rPr>
          <w:rFonts w:eastAsia="MS Mincho"/>
          <w:lang w:val="en-US"/>
        </w:rPr>
      </w:pPr>
    </w:p>
    <w:p w14:paraId="540AD558" w14:textId="547831A5" w:rsidR="00203776" w:rsidRDefault="00203776" w:rsidP="00203776">
      <w:pPr>
        <w:rPr>
          <w:rFonts w:eastAsia="MS Mincho"/>
          <w:lang w:val="en-US"/>
        </w:rPr>
      </w:pPr>
      <w:r>
        <w:rPr>
          <w:rFonts w:eastAsia="MS Mincho"/>
          <w:lang w:val="en-US"/>
        </w:rPr>
        <w:t xml:space="preserve">The PRI, </w:t>
      </w:r>
      <w:r w:rsidRPr="00203776">
        <w:rPr>
          <w:rFonts w:eastAsia="MS Mincho"/>
          <w:lang w:val="en-US"/>
        </w:rPr>
        <w:t>PDSCH-to-</w:t>
      </w:r>
      <w:proofErr w:type="spellStart"/>
      <w:r w:rsidRPr="00203776">
        <w:rPr>
          <w:rFonts w:eastAsia="MS Mincho"/>
          <w:lang w:val="en-US"/>
        </w:rPr>
        <w:t>HARQ_feedback</w:t>
      </w:r>
      <w:proofErr w:type="spellEnd"/>
      <w:r w:rsidRPr="00203776">
        <w:rPr>
          <w:rFonts w:eastAsia="MS Mincho"/>
          <w:lang w:val="en-US"/>
        </w:rPr>
        <w:t xml:space="preserve"> timing indicator</w:t>
      </w:r>
      <w:r>
        <w:rPr>
          <w:rFonts w:eastAsia="MS Mincho"/>
          <w:lang w:val="en-US"/>
        </w:rPr>
        <w:t xml:space="preserve"> and DAI are currently being </w:t>
      </w:r>
      <w:r w:rsidR="001B1893">
        <w:rPr>
          <w:rFonts w:eastAsia="MS Mincho"/>
          <w:lang w:val="en-US"/>
        </w:rPr>
        <w:t>discussed in other agenda items, i.e. UCI E</w:t>
      </w:r>
      <w:r>
        <w:rPr>
          <w:rFonts w:eastAsia="MS Mincho"/>
          <w:lang w:val="en-US"/>
        </w:rPr>
        <w:t xml:space="preserve">nhancements </w:t>
      </w:r>
      <w:r w:rsidR="001B1893">
        <w:rPr>
          <w:rFonts w:eastAsia="MS Mincho"/>
          <w:lang w:val="en-US"/>
        </w:rPr>
        <w:t xml:space="preserve">(7.2.6.2) </w:t>
      </w:r>
      <w:r>
        <w:rPr>
          <w:rFonts w:eastAsia="MS Mincho"/>
          <w:lang w:val="en-US"/>
        </w:rPr>
        <w:t xml:space="preserve">&amp; </w:t>
      </w:r>
      <w:r w:rsidR="001B1893">
        <w:rPr>
          <w:rFonts w:eastAsia="MS Mincho"/>
          <w:lang w:val="en-US"/>
        </w:rPr>
        <w:t xml:space="preserve">Enhancements to </w:t>
      </w:r>
      <w:r>
        <w:rPr>
          <w:rFonts w:eastAsia="MS Mincho"/>
          <w:lang w:val="en-US"/>
        </w:rPr>
        <w:t>Scheduling</w:t>
      </w:r>
      <w:r w:rsidR="001B1893">
        <w:rPr>
          <w:rFonts w:eastAsia="MS Mincho"/>
          <w:lang w:val="en-US"/>
        </w:rPr>
        <w:t>/HARQ (7.2.6.4) and therefore they will not be considered here.</w:t>
      </w:r>
      <w:r w:rsidR="00EA0880">
        <w:rPr>
          <w:rFonts w:eastAsia="MS Mincho"/>
          <w:lang w:val="en-US"/>
        </w:rPr>
        <w:t xml:space="preserve">  The size for the HARQ process number has been agreed in RAN1#98 and we consider the remaining DCI parameters.</w:t>
      </w:r>
    </w:p>
    <w:p w14:paraId="7BCCB34B" w14:textId="77777777" w:rsidR="00EA0880" w:rsidRDefault="00EA0880" w:rsidP="00203776">
      <w:pPr>
        <w:rPr>
          <w:rFonts w:eastAsia="MS Mincho"/>
          <w:lang w:val="en-US"/>
        </w:rPr>
      </w:pPr>
    </w:p>
    <w:p w14:paraId="4FEC2C12" w14:textId="37419A29" w:rsidR="001B1893" w:rsidRDefault="005141B3" w:rsidP="00191488">
      <w:pPr>
        <w:pStyle w:val="Heading2"/>
        <w:numPr>
          <w:ilvl w:val="1"/>
          <w:numId w:val="8"/>
        </w:numPr>
        <w:rPr>
          <w:lang w:val="en-US"/>
        </w:rPr>
      </w:pPr>
      <w:r>
        <w:rPr>
          <w:color w:val="000000"/>
          <w:kern w:val="2"/>
          <w:lang w:eastAsia="zh-CN"/>
        </w:rPr>
        <w:t>Frequency Domain Resource Assignment (</w:t>
      </w:r>
      <w:r w:rsidR="00191488">
        <w:rPr>
          <w:lang w:val="en-US"/>
        </w:rPr>
        <w:t>FDRA</w:t>
      </w:r>
      <w:r>
        <w:rPr>
          <w:lang w:val="en-US"/>
        </w:rPr>
        <w:t>)</w:t>
      </w:r>
    </w:p>
    <w:p w14:paraId="595ACE2D" w14:textId="46C4CF6F" w:rsidR="00144192" w:rsidRDefault="0024533F" w:rsidP="000C2901">
      <w:pPr>
        <w:rPr>
          <w:rFonts w:eastAsia="MS Mincho"/>
          <w:lang w:val="en-US"/>
        </w:rPr>
      </w:pPr>
      <w:r>
        <w:rPr>
          <w:rFonts w:eastAsia="MS Mincho"/>
          <w:lang w:val="en-US"/>
        </w:rPr>
        <w:t xml:space="preserve">Resource Allocation Type 0 allows </w:t>
      </w:r>
      <w:r w:rsidR="003A33E8">
        <w:rPr>
          <w:rFonts w:eastAsia="MS Mincho"/>
          <w:lang w:val="en-US"/>
        </w:rPr>
        <w:t xml:space="preserve">for </w:t>
      </w:r>
      <w:r>
        <w:rPr>
          <w:rFonts w:eastAsia="MS Mincho"/>
          <w:lang w:val="en-US"/>
        </w:rPr>
        <w:t xml:space="preserve">discontinuous allocations in the frequency domain, which can offer frequency diversity </w:t>
      </w:r>
      <w:proofErr w:type="gramStart"/>
      <w:r>
        <w:rPr>
          <w:rFonts w:eastAsia="MS Mincho"/>
          <w:lang w:val="en-US"/>
        </w:rPr>
        <w:t>and also</w:t>
      </w:r>
      <w:proofErr w:type="gramEnd"/>
      <w:r>
        <w:rPr>
          <w:rFonts w:eastAsia="MS Mincho"/>
          <w:lang w:val="en-US"/>
        </w:rPr>
        <w:t xml:space="preserve"> </w:t>
      </w:r>
      <w:r w:rsidR="003A33E8">
        <w:rPr>
          <w:rFonts w:eastAsia="MS Mincho"/>
          <w:lang w:val="en-US"/>
        </w:rPr>
        <w:t xml:space="preserve">provides </w:t>
      </w:r>
      <w:r>
        <w:rPr>
          <w:rFonts w:eastAsia="MS Mincho"/>
          <w:lang w:val="en-US"/>
        </w:rPr>
        <w:t xml:space="preserve">further flexibility for the </w:t>
      </w:r>
      <w:proofErr w:type="spellStart"/>
      <w:r>
        <w:rPr>
          <w:rFonts w:eastAsia="MS Mincho"/>
          <w:lang w:val="en-US"/>
        </w:rPr>
        <w:t>gNB</w:t>
      </w:r>
      <w:proofErr w:type="spellEnd"/>
      <w:r>
        <w:rPr>
          <w:rFonts w:eastAsia="MS Mincho"/>
          <w:lang w:val="en-US"/>
        </w:rPr>
        <w:t xml:space="preserve"> to minimize pre-emption.  Hence, we see a benefit to also support RA Type 0.  Since RA Type 0 already allows for different RBG size</w:t>
      </w:r>
      <w:r w:rsidR="003A33E8">
        <w:rPr>
          <w:rFonts w:eastAsia="MS Mincho"/>
          <w:lang w:val="en-US"/>
        </w:rPr>
        <w:t>s</w:t>
      </w:r>
      <w:r>
        <w:rPr>
          <w:rFonts w:eastAsia="MS Mincho"/>
          <w:lang w:val="en-US"/>
        </w:rPr>
        <w:t xml:space="preserve">, </w:t>
      </w:r>
      <w:r w:rsidR="009E6DE5">
        <w:rPr>
          <w:rFonts w:eastAsia="MS Mincho"/>
          <w:lang w:val="en-US"/>
        </w:rPr>
        <w:t>no</w:t>
      </w:r>
      <w:r>
        <w:rPr>
          <w:rFonts w:eastAsia="MS Mincho"/>
          <w:lang w:val="en-US"/>
        </w:rPr>
        <w:t xml:space="preserve"> further changes </w:t>
      </w:r>
      <w:r w:rsidR="003A33E8">
        <w:rPr>
          <w:rFonts w:eastAsia="MS Mincho"/>
          <w:lang w:val="en-US"/>
        </w:rPr>
        <w:t xml:space="preserve">are </w:t>
      </w:r>
      <w:r>
        <w:rPr>
          <w:rFonts w:eastAsia="MS Mincho"/>
          <w:lang w:val="en-US"/>
        </w:rPr>
        <w:t>required.</w:t>
      </w:r>
    </w:p>
    <w:p w14:paraId="077F2158" w14:textId="24F4DFA3" w:rsidR="0024533F" w:rsidRPr="0024533F" w:rsidRDefault="0024533F" w:rsidP="000C2901">
      <w:pPr>
        <w:rPr>
          <w:rFonts w:eastAsia="MS Mincho"/>
          <w:b/>
          <w:lang w:val="en-US"/>
        </w:rPr>
      </w:pPr>
      <w:r w:rsidRPr="0024533F">
        <w:rPr>
          <w:rFonts w:eastAsia="MS Mincho"/>
          <w:b/>
          <w:lang w:val="en-US"/>
        </w:rPr>
        <w:lastRenderedPageBreak/>
        <w:t xml:space="preserve">Proposal </w:t>
      </w:r>
      <w:r w:rsidR="00EA0880">
        <w:rPr>
          <w:rFonts w:eastAsia="MS Mincho"/>
          <w:b/>
          <w:lang w:val="en-US"/>
        </w:rPr>
        <w:t>1</w:t>
      </w:r>
      <w:r w:rsidRPr="0024533F">
        <w:rPr>
          <w:rFonts w:eastAsia="MS Mincho"/>
          <w:b/>
          <w:lang w:val="en-US"/>
        </w:rPr>
        <w:t>: Support Resource Allocation Type 0 for frequency domain resource assignment for the DCI format scheduling Rel-16 DL URLLC.</w:t>
      </w:r>
    </w:p>
    <w:p w14:paraId="5EC942DF" w14:textId="77777777" w:rsidR="0024533F" w:rsidRDefault="0024533F" w:rsidP="000C2901">
      <w:pPr>
        <w:rPr>
          <w:rFonts w:eastAsia="MS Mincho"/>
          <w:lang w:val="en-US"/>
        </w:rPr>
      </w:pPr>
    </w:p>
    <w:p w14:paraId="6A1746DE" w14:textId="56E7F096" w:rsidR="0024533F" w:rsidRDefault="005141B3" w:rsidP="0024533F">
      <w:pPr>
        <w:pStyle w:val="Heading2"/>
        <w:numPr>
          <w:ilvl w:val="1"/>
          <w:numId w:val="8"/>
        </w:numPr>
        <w:rPr>
          <w:lang w:val="en-US"/>
        </w:rPr>
      </w:pPr>
      <w:r>
        <w:rPr>
          <w:color w:val="000000"/>
          <w:kern w:val="2"/>
          <w:lang w:eastAsia="zh-CN"/>
        </w:rPr>
        <w:t>Time Domain Resource Assignment (</w:t>
      </w:r>
      <w:r w:rsidR="0024533F">
        <w:rPr>
          <w:lang w:val="en-US"/>
        </w:rPr>
        <w:t>TDRA</w:t>
      </w:r>
      <w:r>
        <w:rPr>
          <w:lang w:val="en-US"/>
        </w:rPr>
        <w:t>)</w:t>
      </w:r>
    </w:p>
    <w:p w14:paraId="1A069508" w14:textId="1B9AE9AE" w:rsidR="0024533F" w:rsidRDefault="002732F5" w:rsidP="000C2901">
      <w:pPr>
        <w:rPr>
          <w:rFonts w:eastAsia="MS Mincho"/>
          <w:lang w:val="en-US"/>
        </w:rPr>
      </w:pPr>
      <w:r>
        <w:rPr>
          <w:rFonts w:eastAsia="MS Mincho"/>
          <w:lang w:val="en-US"/>
        </w:rPr>
        <w:t>Since URLLC has low latency requirement</w:t>
      </w:r>
      <w:r w:rsidR="003A33E8">
        <w:rPr>
          <w:rFonts w:eastAsia="MS Mincho"/>
          <w:lang w:val="en-US"/>
        </w:rPr>
        <w:t>s</w:t>
      </w:r>
      <w:r>
        <w:rPr>
          <w:rFonts w:eastAsia="MS Mincho"/>
          <w:lang w:val="en-US"/>
        </w:rPr>
        <w:t>, we expect the PDSCH transmission to start as soon as possible after the corresponding DL Grant is sent.  It was argued [2] that since URLLC is likely to have multiple PDCCH monitoring occasion</w:t>
      </w:r>
      <w:r w:rsidR="003A33E8">
        <w:rPr>
          <w:rFonts w:eastAsia="MS Mincho"/>
          <w:lang w:val="en-US"/>
        </w:rPr>
        <w:t>s</w:t>
      </w:r>
      <w:r>
        <w:rPr>
          <w:rFonts w:eastAsia="MS Mincho"/>
          <w:lang w:val="en-US"/>
        </w:rPr>
        <w:t xml:space="preserve"> in a slot, using Rel-15 TDRA would lead to a larger TDRA table thereby increasing the size of the DCI.  For example</w:t>
      </w:r>
      <w:r w:rsidR="00C06F57">
        <w:rPr>
          <w:rFonts w:eastAsia="MS Mincho"/>
          <w:lang w:val="en-US"/>
        </w:rPr>
        <w:t xml:space="preserve"> in </w:t>
      </w:r>
      <w:r w:rsidR="00C06F57">
        <w:rPr>
          <w:rFonts w:eastAsia="MS Mincho"/>
          <w:lang w:val="en-US"/>
        </w:rPr>
        <w:fldChar w:fldCharType="begin"/>
      </w:r>
      <w:r w:rsidR="00C06F57">
        <w:rPr>
          <w:rFonts w:eastAsia="MS Mincho"/>
          <w:lang w:val="en-US"/>
        </w:rPr>
        <w:instrText xml:space="preserve"> REF _Ref15552872 \h </w:instrText>
      </w:r>
      <w:r w:rsidR="00C06F57">
        <w:rPr>
          <w:rFonts w:eastAsia="MS Mincho"/>
          <w:lang w:val="en-US"/>
        </w:rPr>
      </w:r>
      <w:r w:rsidR="00C06F57">
        <w:rPr>
          <w:rFonts w:eastAsia="MS Mincho"/>
          <w:lang w:val="en-US"/>
        </w:rPr>
        <w:fldChar w:fldCharType="separate"/>
      </w:r>
      <w:r w:rsidR="00C06F57">
        <w:t xml:space="preserve">Figure </w:t>
      </w:r>
      <w:r w:rsidR="00C06F57">
        <w:rPr>
          <w:noProof/>
        </w:rPr>
        <w:t>1</w:t>
      </w:r>
      <w:r w:rsidR="00C06F57">
        <w:rPr>
          <w:rFonts w:eastAsia="MS Mincho"/>
          <w:lang w:val="en-US"/>
        </w:rPr>
        <w:fldChar w:fldCharType="end"/>
      </w:r>
      <w:r w:rsidR="00843540">
        <w:rPr>
          <w:rFonts w:eastAsia="MS Mincho"/>
          <w:lang w:val="en-US"/>
        </w:rPr>
        <w:t xml:space="preserve">, the PDCCH monitoring period is 7 OFDM symbols </w:t>
      </w:r>
      <w:r w:rsidR="00C06F57">
        <w:rPr>
          <w:rFonts w:eastAsia="MS Mincho"/>
          <w:lang w:val="en-US"/>
        </w:rPr>
        <w:t>and if we want a 4 symbol duration PDSCH to start 1 symbol after the end of DL Grant, using Rel-15 parameters, we require two entries in the TDRA table, i.e.</w:t>
      </w:r>
    </w:p>
    <w:p w14:paraId="58F2F018" w14:textId="1D6CA903" w:rsidR="00C06F57" w:rsidRDefault="00C06F57" w:rsidP="00C06F57">
      <w:pPr>
        <w:pStyle w:val="ListParagraph"/>
        <w:numPr>
          <w:ilvl w:val="0"/>
          <w:numId w:val="39"/>
        </w:numPr>
        <w:rPr>
          <w:rFonts w:eastAsia="MS Mincho"/>
          <w:lang w:val="en-US"/>
        </w:rPr>
      </w:pPr>
      <w:r w:rsidRPr="00C06F57">
        <w:rPr>
          <w:rFonts w:eastAsia="MS Mincho"/>
          <w:i/>
          <w:lang w:val="en-US"/>
        </w:rPr>
        <w:t>K</w:t>
      </w:r>
      <w:r w:rsidRPr="00C06F57">
        <w:rPr>
          <w:rFonts w:eastAsia="MS Mincho"/>
          <w:vertAlign w:val="subscript"/>
          <w:lang w:val="en-US"/>
        </w:rPr>
        <w:t>0</w:t>
      </w:r>
      <w:r>
        <w:rPr>
          <w:rFonts w:eastAsia="MS Mincho"/>
          <w:lang w:val="en-US"/>
        </w:rPr>
        <w:t xml:space="preserve">=0, </w:t>
      </w:r>
      <w:r w:rsidRPr="00C06F57">
        <w:rPr>
          <w:rFonts w:eastAsia="MS Mincho"/>
          <w:i/>
          <w:lang w:val="en-US"/>
        </w:rPr>
        <w:t>S</w:t>
      </w:r>
      <w:r>
        <w:rPr>
          <w:rFonts w:eastAsia="MS Mincho"/>
          <w:lang w:val="en-US"/>
        </w:rPr>
        <w:t xml:space="preserve">=3, </w:t>
      </w:r>
      <w:r w:rsidRPr="00C06F57">
        <w:rPr>
          <w:rFonts w:eastAsia="MS Mincho"/>
          <w:i/>
          <w:lang w:val="en-US"/>
        </w:rPr>
        <w:t>L</w:t>
      </w:r>
      <w:r>
        <w:rPr>
          <w:rFonts w:eastAsia="MS Mincho"/>
          <w:lang w:val="en-US"/>
        </w:rPr>
        <w:t>=4</w:t>
      </w:r>
    </w:p>
    <w:p w14:paraId="668D4981" w14:textId="5549D87E" w:rsidR="00C06F57" w:rsidRDefault="00C06F57" w:rsidP="00C06F57">
      <w:pPr>
        <w:pStyle w:val="ListParagraph"/>
        <w:numPr>
          <w:ilvl w:val="0"/>
          <w:numId w:val="39"/>
        </w:numPr>
        <w:rPr>
          <w:rFonts w:eastAsia="MS Mincho"/>
          <w:lang w:val="en-US"/>
        </w:rPr>
      </w:pPr>
      <w:r w:rsidRPr="00C06F57">
        <w:rPr>
          <w:rFonts w:eastAsia="MS Mincho"/>
          <w:i/>
          <w:lang w:val="en-US"/>
        </w:rPr>
        <w:t>K</w:t>
      </w:r>
      <w:r w:rsidRPr="00C06F57">
        <w:rPr>
          <w:rFonts w:eastAsia="MS Mincho"/>
          <w:vertAlign w:val="subscript"/>
          <w:lang w:val="en-US"/>
        </w:rPr>
        <w:t>0</w:t>
      </w:r>
      <w:r>
        <w:rPr>
          <w:rFonts w:eastAsia="MS Mincho"/>
          <w:lang w:val="en-US"/>
        </w:rPr>
        <w:t xml:space="preserve">=0, </w:t>
      </w:r>
      <w:r w:rsidRPr="00C06F57">
        <w:rPr>
          <w:rFonts w:eastAsia="MS Mincho"/>
          <w:i/>
          <w:lang w:val="en-US"/>
        </w:rPr>
        <w:t>S</w:t>
      </w:r>
      <w:r>
        <w:rPr>
          <w:rFonts w:eastAsia="MS Mincho"/>
          <w:lang w:val="en-US"/>
        </w:rPr>
        <w:t xml:space="preserve">=10, </w:t>
      </w:r>
      <w:r w:rsidRPr="00C06F57">
        <w:rPr>
          <w:rFonts w:eastAsia="MS Mincho"/>
          <w:i/>
          <w:lang w:val="en-US"/>
        </w:rPr>
        <w:t>L</w:t>
      </w:r>
      <w:r>
        <w:rPr>
          <w:rFonts w:eastAsia="MS Mincho"/>
          <w:lang w:val="en-US"/>
        </w:rPr>
        <w:t>=4</w:t>
      </w:r>
    </w:p>
    <w:p w14:paraId="0D033291" w14:textId="1E5D8D0C" w:rsidR="00C06F57" w:rsidRPr="00C06F57" w:rsidRDefault="00C06F57" w:rsidP="00C06F57">
      <w:pPr>
        <w:rPr>
          <w:rFonts w:eastAsia="MS Mincho"/>
          <w:lang w:val="en-US"/>
        </w:rPr>
      </w:pPr>
      <w:r>
        <w:rPr>
          <w:rFonts w:eastAsia="MS Mincho"/>
          <w:lang w:val="en-US"/>
        </w:rPr>
        <w:t>The number of entries increases with the number of PDCCH monitoring occasions per slot, e.g. if we have 7 PDCCH monitoring period</w:t>
      </w:r>
      <w:r w:rsidR="003A33E8">
        <w:rPr>
          <w:rFonts w:eastAsia="MS Mincho"/>
          <w:lang w:val="en-US"/>
        </w:rPr>
        <w:t>s</w:t>
      </w:r>
      <w:r>
        <w:rPr>
          <w:rFonts w:eastAsia="MS Mincho"/>
          <w:lang w:val="en-US"/>
        </w:rPr>
        <w:t xml:space="preserve">, </w:t>
      </w:r>
      <w:r w:rsidR="009E6DE5">
        <w:rPr>
          <w:rFonts w:eastAsia="MS Mincho"/>
          <w:lang w:val="en-US"/>
        </w:rPr>
        <w:t xml:space="preserve">for </w:t>
      </w:r>
      <w:r w:rsidR="009E6DE5" w:rsidRPr="009E6DE5">
        <w:rPr>
          <w:rFonts w:eastAsia="MS Mincho"/>
          <w:i/>
          <w:lang w:val="en-US"/>
        </w:rPr>
        <w:t>L</w:t>
      </w:r>
      <w:r w:rsidR="009E6DE5">
        <w:rPr>
          <w:rFonts w:eastAsia="MS Mincho"/>
          <w:lang w:val="en-US"/>
        </w:rPr>
        <w:t xml:space="preserve">=2 and PDSCH to start at the same time as the DL Grant, such </w:t>
      </w:r>
      <w:r>
        <w:rPr>
          <w:rFonts w:eastAsia="MS Mincho"/>
          <w:lang w:val="en-US"/>
        </w:rPr>
        <w:t xml:space="preserve">allocation </w:t>
      </w:r>
      <w:r w:rsidR="00B3776D">
        <w:rPr>
          <w:rFonts w:eastAsia="MS Mincho"/>
          <w:lang w:val="en-US"/>
        </w:rPr>
        <w:t xml:space="preserve">may </w:t>
      </w:r>
      <w:r>
        <w:rPr>
          <w:rFonts w:eastAsia="MS Mincho"/>
          <w:lang w:val="en-US"/>
        </w:rPr>
        <w:t>require 7 entries in the TDRA table</w:t>
      </w:r>
      <w:r w:rsidR="009E6DE5">
        <w:rPr>
          <w:rFonts w:eastAsia="MS Mincho"/>
          <w:lang w:val="en-US"/>
        </w:rPr>
        <w:t xml:space="preserve"> for</w:t>
      </w:r>
      <w:r>
        <w:rPr>
          <w:rFonts w:eastAsia="MS Mincho"/>
          <w:lang w:val="en-US"/>
        </w:rPr>
        <w:t>.</w:t>
      </w:r>
    </w:p>
    <w:p w14:paraId="156C1336" w14:textId="09944FF1" w:rsidR="002732F5" w:rsidRDefault="00843540" w:rsidP="00843540">
      <w:pPr>
        <w:jc w:val="center"/>
        <w:rPr>
          <w:rFonts w:eastAsia="MS Mincho"/>
          <w:lang w:val="en-US"/>
        </w:rPr>
      </w:pPr>
      <w:r>
        <w:rPr>
          <w:rFonts w:eastAsia="MS Mincho"/>
          <w:noProof/>
          <w:lang w:eastAsia="en-GB"/>
        </w:rPr>
        <w:drawing>
          <wp:inline distT="0" distB="0" distL="0" distR="0" wp14:anchorId="5F4DB786" wp14:editId="3612C820">
            <wp:extent cx="4224655" cy="21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4655" cy="2145665"/>
                    </a:xfrm>
                    <a:prstGeom prst="rect">
                      <a:avLst/>
                    </a:prstGeom>
                    <a:noFill/>
                  </pic:spPr>
                </pic:pic>
              </a:graphicData>
            </a:graphic>
          </wp:inline>
        </w:drawing>
      </w:r>
    </w:p>
    <w:p w14:paraId="2E52E0B3" w14:textId="5E20262B" w:rsidR="00843540" w:rsidRDefault="00843540" w:rsidP="00843540">
      <w:pPr>
        <w:pStyle w:val="Caption"/>
        <w:jc w:val="center"/>
        <w:rPr>
          <w:rFonts w:eastAsia="MS Mincho"/>
          <w:lang w:val="en-US"/>
        </w:rPr>
      </w:pPr>
      <w:bookmarkStart w:id="2" w:name="_Ref15552872"/>
      <w:r>
        <w:t xml:space="preserve">Figure </w:t>
      </w:r>
      <w:r w:rsidR="00EE1E25">
        <w:rPr>
          <w:noProof/>
        </w:rPr>
        <w:fldChar w:fldCharType="begin"/>
      </w:r>
      <w:r w:rsidR="00EE1E25">
        <w:rPr>
          <w:noProof/>
        </w:rPr>
        <w:instrText xml:space="preserve"> SEQ Figure \* ARABIC </w:instrText>
      </w:r>
      <w:r w:rsidR="00EE1E25">
        <w:rPr>
          <w:noProof/>
        </w:rPr>
        <w:fldChar w:fldCharType="separate"/>
      </w:r>
      <w:r w:rsidR="006D73CE">
        <w:rPr>
          <w:noProof/>
        </w:rPr>
        <w:t>1</w:t>
      </w:r>
      <w:r w:rsidR="00EE1E25">
        <w:rPr>
          <w:noProof/>
        </w:rPr>
        <w:fldChar w:fldCharType="end"/>
      </w:r>
      <w:bookmarkEnd w:id="2"/>
      <w:r>
        <w:t>: Rel-15 TDRA parameters</w:t>
      </w:r>
    </w:p>
    <w:p w14:paraId="4F7441F8" w14:textId="569B0A83" w:rsidR="002732F5" w:rsidRDefault="00C06F57" w:rsidP="000C2901">
      <w:pPr>
        <w:rPr>
          <w:rFonts w:eastAsia="MS Mincho"/>
          <w:lang w:val="en-US"/>
        </w:rPr>
      </w:pPr>
      <w:r>
        <w:rPr>
          <w:rFonts w:eastAsia="MS Mincho"/>
          <w:lang w:val="en-US"/>
        </w:rPr>
        <w:t xml:space="preserve">It is therefore proposed by several companies [2] that the TDRA parameter </w:t>
      </w:r>
      <w:r w:rsidRPr="00C06F57">
        <w:rPr>
          <w:rFonts w:eastAsia="MS Mincho"/>
          <w:i/>
          <w:lang w:val="en-US"/>
        </w:rPr>
        <w:t>S</w:t>
      </w:r>
      <w:r>
        <w:rPr>
          <w:rFonts w:eastAsia="MS Mincho"/>
          <w:lang w:val="en-US"/>
        </w:rPr>
        <w:t xml:space="preserve"> is relative to the (end</w:t>
      </w:r>
      <w:r w:rsidR="009E6DE5">
        <w:rPr>
          <w:rFonts w:eastAsia="MS Mincho"/>
          <w:lang w:val="en-US"/>
        </w:rPr>
        <w:t xml:space="preserve"> or start</w:t>
      </w:r>
      <w:r>
        <w:rPr>
          <w:rFonts w:eastAsia="MS Mincho"/>
          <w:lang w:val="en-US"/>
        </w:rPr>
        <w:t xml:space="preserve">) of the DL Grant instead of it being relative to the start of the slot boundary in Rel-15.  If </w:t>
      </w:r>
      <w:r w:rsidRPr="00C06F57">
        <w:rPr>
          <w:rFonts w:eastAsia="MS Mincho"/>
          <w:i/>
          <w:lang w:val="en-US"/>
        </w:rPr>
        <w:t>S</w:t>
      </w:r>
      <w:r>
        <w:rPr>
          <w:rFonts w:eastAsia="MS Mincho"/>
          <w:lang w:val="en-US"/>
        </w:rPr>
        <w:t xml:space="preserve"> is relative to the DL Grant, then only a single entry in the TDRA table is required, e.g. for the PDSCH allocation example in </w:t>
      </w:r>
      <w:r>
        <w:rPr>
          <w:rFonts w:eastAsia="MS Mincho"/>
          <w:lang w:val="en-US"/>
        </w:rPr>
        <w:fldChar w:fldCharType="begin"/>
      </w:r>
      <w:r>
        <w:rPr>
          <w:rFonts w:eastAsia="MS Mincho"/>
          <w:lang w:val="en-US"/>
        </w:rPr>
        <w:instrText xml:space="preserve"> REF _Ref15552872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an entry where </w:t>
      </w:r>
      <w:r w:rsidRPr="00C06F57">
        <w:rPr>
          <w:rFonts w:eastAsia="MS Mincho"/>
          <w:i/>
          <w:lang w:val="en-US"/>
        </w:rPr>
        <w:t>S</w:t>
      </w:r>
      <w:r>
        <w:rPr>
          <w:rFonts w:eastAsia="MS Mincho"/>
          <w:lang w:val="en-US"/>
        </w:rPr>
        <w:t xml:space="preserve">=1 &amp; </w:t>
      </w:r>
      <w:r w:rsidRPr="00C06F57">
        <w:rPr>
          <w:rFonts w:eastAsia="MS Mincho"/>
          <w:i/>
          <w:lang w:val="en-US"/>
        </w:rPr>
        <w:t>L</w:t>
      </w:r>
      <w:r>
        <w:rPr>
          <w:rFonts w:eastAsia="MS Mincho"/>
          <w:lang w:val="en-US"/>
        </w:rPr>
        <w:t xml:space="preserve">=4 is </w:t>
      </w:r>
      <w:proofErr w:type="gramStart"/>
      <w:r>
        <w:rPr>
          <w:rFonts w:eastAsia="MS Mincho"/>
          <w:lang w:val="en-US"/>
        </w:rPr>
        <w:t>sufficient</w:t>
      </w:r>
      <w:proofErr w:type="gramEnd"/>
      <w:r>
        <w:rPr>
          <w:rFonts w:eastAsia="MS Mincho"/>
          <w:lang w:val="en-US"/>
        </w:rPr>
        <w:t>.</w:t>
      </w:r>
    </w:p>
    <w:p w14:paraId="3A13AB46" w14:textId="05F8C9FF" w:rsidR="002732F5" w:rsidRPr="00155458" w:rsidRDefault="00C06F57" w:rsidP="000C2901">
      <w:pPr>
        <w:rPr>
          <w:rFonts w:eastAsia="MS Mincho"/>
          <w:b/>
          <w:lang w:val="en-US"/>
        </w:rPr>
      </w:pPr>
      <w:r w:rsidRPr="00155458">
        <w:rPr>
          <w:rFonts w:eastAsia="MS Mincho"/>
          <w:b/>
          <w:lang w:val="en-US"/>
        </w:rPr>
        <w:t>Observation</w:t>
      </w:r>
      <w:r w:rsidR="00155458" w:rsidRPr="00155458">
        <w:rPr>
          <w:rFonts w:eastAsia="MS Mincho"/>
          <w:b/>
          <w:lang w:val="en-US"/>
        </w:rPr>
        <w:t xml:space="preserve"> 1: Rel-15 TDRA parameters are not efficient in allocating PDSCH that require low latency for multiple PDCCH monitoring occasions per slot.</w:t>
      </w:r>
    </w:p>
    <w:p w14:paraId="2A0AECB5" w14:textId="77777777" w:rsidR="00C06F57" w:rsidRDefault="00C06F57" w:rsidP="000C2901">
      <w:pPr>
        <w:rPr>
          <w:rFonts w:eastAsia="MS Mincho"/>
          <w:lang w:val="en-US"/>
        </w:rPr>
      </w:pPr>
    </w:p>
    <w:p w14:paraId="18F03DA9" w14:textId="14A68875" w:rsidR="00155458" w:rsidRDefault="00155458" w:rsidP="000C2901">
      <w:pPr>
        <w:rPr>
          <w:rFonts w:eastAsia="MS Mincho"/>
          <w:lang w:val="en-US"/>
        </w:rPr>
      </w:pPr>
      <w:r>
        <w:rPr>
          <w:rFonts w:eastAsia="MS Mincho"/>
          <w:lang w:val="en-US"/>
        </w:rPr>
        <w:t xml:space="preserve">However, defining the parameter </w:t>
      </w:r>
      <w:r w:rsidRPr="00155458">
        <w:rPr>
          <w:rFonts w:eastAsia="MS Mincho"/>
          <w:i/>
          <w:lang w:val="en-US"/>
        </w:rPr>
        <w:t>S</w:t>
      </w:r>
      <w:r>
        <w:rPr>
          <w:rFonts w:eastAsia="MS Mincho"/>
          <w:lang w:val="en-US"/>
        </w:rPr>
        <w:t xml:space="preserve"> to be relative to the (end) of the DL Grant has drawbacks.  Firstly, this </w:t>
      </w:r>
      <w:r w:rsidR="00B3776D">
        <w:rPr>
          <w:rFonts w:eastAsia="MS Mincho"/>
          <w:lang w:val="en-US"/>
        </w:rPr>
        <w:t xml:space="preserve">may </w:t>
      </w:r>
      <w:r>
        <w:rPr>
          <w:rFonts w:eastAsia="MS Mincho"/>
          <w:lang w:val="en-US"/>
        </w:rPr>
        <w:t xml:space="preserve">lead to a PDSCH crossing </w:t>
      </w:r>
      <w:r w:rsidR="001D5394">
        <w:rPr>
          <w:rFonts w:eastAsia="MS Mincho"/>
          <w:lang w:val="en-US"/>
        </w:rPr>
        <w:t xml:space="preserve">a </w:t>
      </w:r>
      <w:r>
        <w:rPr>
          <w:rFonts w:eastAsia="MS Mincho"/>
          <w:lang w:val="en-US"/>
        </w:rPr>
        <w:t xml:space="preserve">slot boundary.  For example in </w:t>
      </w:r>
      <w:r>
        <w:rPr>
          <w:rFonts w:eastAsia="MS Mincho"/>
          <w:lang w:val="en-US"/>
        </w:rPr>
        <w:fldChar w:fldCharType="begin"/>
      </w:r>
      <w:r>
        <w:rPr>
          <w:rFonts w:eastAsia="MS Mincho"/>
          <w:lang w:val="en-US"/>
        </w:rPr>
        <w:instrText xml:space="preserve"> REF _Ref15555545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if we have </w:t>
      </w:r>
      <w:r w:rsidRPr="00155458">
        <w:rPr>
          <w:rFonts w:eastAsia="MS Mincho"/>
          <w:i/>
          <w:lang w:val="en-US"/>
        </w:rPr>
        <w:t>S</w:t>
      </w:r>
      <w:r>
        <w:rPr>
          <w:rFonts w:eastAsia="MS Mincho"/>
          <w:lang w:val="en-US"/>
        </w:rPr>
        <w:t xml:space="preserve"> relative to the end of </w:t>
      </w:r>
      <w:r w:rsidR="001D5394">
        <w:rPr>
          <w:rFonts w:eastAsia="MS Mincho"/>
          <w:lang w:val="en-US"/>
        </w:rPr>
        <w:t xml:space="preserve">the </w:t>
      </w:r>
      <w:r>
        <w:rPr>
          <w:rFonts w:eastAsia="MS Mincho"/>
          <w:lang w:val="en-US"/>
        </w:rPr>
        <w:t xml:space="preserve">DL Grant and we have an entry </w:t>
      </w:r>
      <w:r w:rsidRPr="00155458">
        <w:rPr>
          <w:rFonts w:eastAsia="MS Mincho"/>
          <w:i/>
          <w:lang w:val="en-US"/>
        </w:rPr>
        <w:t>S</w:t>
      </w:r>
      <w:r>
        <w:rPr>
          <w:rFonts w:eastAsia="MS Mincho"/>
          <w:lang w:val="en-US"/>
        </w:rPr>
        <w:t xml:space="preserve">=1, </w:t>
      </w:r>
      <w:r w:rsidRPr="00155458">
        <w:rPr>
          <w:rFonts w:eastAsia="MS Mincho"/>
          <w:i/>
          <w:lang w:val="en-US"/>
        </w:rPr>
        <w:t>L</w:t>
      </w:r>
      <w:r>
        <w:rPr>
          <w:rFonts w:eastAsia="MS Mincho"/>
          <w:lang w:val="en-US"/>
        </w:rPr>
        <w:t xml:space="preserve">=7, then if the DL Grant is sent close to the slot boundary, the corresponding PDSCH will cross that slot boundary.  This is shown in </w:t>
      </w:r>
      <w:r>
        <w:rPr>
          <w:rFonts w:eastAsia="MS Mincho"/>
          <w:lang w:val="en-US"/>
        </w:rPr>
        <w:fldChar w:fldCharType="begin"/>
      </w:r>
      <w:r>
        <w:rPr>
          <w:rFonts w:eastAsia="MS Mincho"/>
          <w:lang w:val="en-US"/>
        </w:rPr>
        <w:instrText xml:space="preserve"> REF _Ref15555545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where the DL Grant ending at time </w:t>
      </w:r>
      <w:r w:rsidRPr="00155458">
        <w:rPr>
          <w:rFonts w:eastAsia="MS Mincho"/>
          <w:i/>
          <w:lang w:val="en-US"/>
        </w:rPr>
        <w:t>t</w:t>
      </w:r>
      <w:r w:rsidRPr="00155458">
        <w:rPr>
          <w:rFonts w:eastAsia="MS Mincho"/>
          <w:vertAlign w:val="subscript"/>
          <w:lang w:val="en-US"/>
        </w:rPr>
        <w:t>4</w:t>
      </w:r>
      <w:r>
        <w:rPr>
          <w:rFonts w:eastAsia="MS Mincho"/>
          <w:lang w:val="en-US"/>
        </w:rPr>
        <w:t xml:space="preserve"> using </w:t>
      </w:r>
      <w:r w:rsidRPr="00155458">
        <w:rPr>
          <w:rFonts w:eastAsia="MS Mincho"/>
          <w:i/>
          <w:lang w:val="en-US"/>
        </w:rPr>
        <w:t>S</w:t>
      </w:r>
      <w:r>
        <w:rPr>
          <w:rFonts w:eastAsia="MS Mincho"/>
          <w:lang w:val="en-US"/>
        </w:rPr>
        <w:t xml:space="preserve">=1, </w:t>
      </w:r>
      <w:r w:rsidRPr="00155458">
        <w:rPr>
          <w:rFonts w:eastAsia="MS Mincho"/>
          <w:i/>
          <w:lang w:val="en-US"/>
        </w:rPr>
        <w:t>L</w:t>
      </w:r>
      <w:r>
        <w:rPr>
          <w:rFonts w:eastAsia="MS Mincho"/>
          <w:lang w:val="en-US"/>
        </w:rPr>
        <w:t xml:space="preserve">=7 would lead to the PDSCH starting at time </w:t>
      </w:r>
      <w:r w:rsidRPr="00155458">
        <w:rPr>
          <w:rFonts w:eastAsia="MS Mincho"/>
          <w:i/>
          <w:lang w:val="en-US"/>
        </w:rPr>
        <w:t>t</w:t>
      </w:r>
      <w:r w:rsidRPr="00155458">
        <w:rPr>
          <w:rFonts w:eastAsia="MS Mincho"/>
          <w:vertAlign w:val="subscript"/>
          <w:lang w:val="en-US"/>
        </w:rPr>
        <w:t>5</w:t>
      </w:r>
      <w:r>
        <w:rPr>
          <w:rFonts w:eastAsia="MS Mincho"/>
          <w:lang w:val="en-US"/>
        </w:rPr>
        <w:t xml:space="preserve"> to cross the slot boundary at time </w:t>
      </w:r>
      <w:r w:rsidRPr="00155458">
        <w:rPr>
          <w:rFonts w:eastAsia="MS Mincho"/>
          <w:i/>
          <w:lang w:val="en-US"/>
        </w:rPr>
        <w:t>t</w:t>
      </w:r>
      <w:r w:rsidRPr="00155458">
        <w:rPr>
          <w:rFonts w:eastAsia="MS Mincho"/>
          <w:vertAlign w:val="subscript"/>
          <w:lang w:val="en-US"/>
        </w:rPr>
        <w:t>6</w:t>
      </w:r>
      <w:r>
        <w:rPr>
          <w:rFonts w:eastAsia="MS Mincho"/>
          <w:lang w:val="en-US"/>
        </w:rPr>
        <w:t xml:space="preserve">.  It should be appreciated that in Rel-15, since the </w:t>
      </w:r>
      <w:r w:rsidRPr="00353CAF">
        <w:rPr>
          <w:rFonts w:eastAsia="MS Mincho"/>
          <w:i/>
          <w:lang w:val="en-US"/>
        </w:rPr>
        <w:t>S</w:t>
      </w:r>
      <w:r>
        <w:rPr>
          <w:rFonts w:eastAsia="MS Mincho"/>
          <w:lang w:val="en-US"/>
        </w:rPr>
        <w:t xml:space="preserve"> is relative to the slot boundary, the </w:t>
      </w:r>
      <w:r w:rsidR="006036D1">
        <w:rPr>
          <w:rFonts w:eastAsia="MS Mincho"/>
          <w:lang w:val="en-US"/>
        </w:rPr>
        <w:t xml:space="preserve">entries in the </w:t>
      </w:r>
      <w:r>
        <w:rPr>
          <w:rFonts w:eastAsia="MS Mincho"/>
          <w:lang w:val="en-US"/>
        </w:rPr>
        <w:t xml:space="preserve">TDRA </w:t>
      </w:r>
      <w:r w:rsidR="006036D1">
        <w:rPr>
          <w:rFonts w:eastAsia="MS Mincho"/>
          <w:lang w:val="en-US"/>
        </w:rPr>
        <w:t xml:space="preserve">table </w:t>
      </w:r>
      <w:r>
        <w:rPr>
          <w:rFonts w:eastAsia="MS Mincho"/>
          <w:lang w:val="en-US"/>
        </w:rPr>
        <w:t xml:space="preserve">could easily avoid any PDSCH crossing </w:t>
      </w:r>
      <w:r w:rsidR="001D5394">
        <w:rPr>
          <w:rFonts w:eastAsia="MS Mincho"/>
          <w:lang w:val="en-US"/>
        </w:rPr>
        <w:t xml:space="preserve">the </w:t>
      </w:r>
      <w:r>
        <w:rPr>
          <w:rFonts w:eastAsia="MS Mincho"/>
          <w:lang w:val="en-US"/>
        </w:rPr>
        <w:t xml:space="preserve">slot boundary but if </w:t>
      </w:r>
      <w:r w:rsidRPr="00353CAF">
        <w:rPr>
          <w:rFonts w:eastAsia="MS Mincho"/>
          <w:i/>
          <w:lang w:val="en-US"/>
        </w:rPr>
        <w:t>S</w:t>
      </w:r>
      <w:r>
        <w:rPr>
          <w:rFonts w:eastAsia="MS Mincho"/>
          <w:lang w:val="en-US"/>
        </w:rPr>
        <w:t xml:space="preserve"> is relative to the end of the DL Grant then </w:t>
      </w:r>
      <w:r w:rsidR="006036D1">
        <w:rPr>
          <w:rFonts w:eastAsia="MS Mincho"/>
          <w:lang w:val="en-US"/>
        </w:rPr>
        <w:t>it is harder to manage the entries in the TDRA table to avoid this</w:t>
      </w:r>
      <w:r w:rsidR="00B3776D">
        <w:rPr>
          <w:rFonts w:eastAsia="MS Mincho"/>
          <w:lang w:val="en-US"/>
        </w:rPr>
        <w:t xml:space="preserve"> since an entry may or may not lead to PDSCH crossing </w:t>
      </w:r>
      <w:r w:rsidR="001D5394">
        <w:rPr>
          <w:rFonts w:eastAsia="MS Mincho"/>
          <w:lang w:val="en-US"/>
        </w:rPr>
        <w:t xml:space="preserve">a </w:t>
      </w:r>
      <w:r w:rsidR="00B3776D">
        <w:rPr>
          <w:rFonts w:eastAsia="MS Mincho"/>
          <w:lang w:val="en-US"/>
        </w:rPr>
        <w:t>slot boundary depending upon the position of the DL Grant</w:t>
      </w:r>
      <w:r w:rsidR="006036D1">
        <w:rPr>
          <w:rFonts w:eastAsia="MS Mincho"/>
          <w:lang w:val="en-US"/>
        </w:rPr>
        <w:t>.</w:t>
      </w:r>
    </w:p>
    <w:p w14:paraId="61583350" w14:textId="5C765AA0" w:rsidR="00155458" w:rsidRDefault="006D73CE" w:rsidP="00155458">
      <w:pPr>
        <w:jc w:val="center"/>
        <w:rPr>
          <w:rFonts w:eastAsia="MS Mincho"/>
          <w:lang w:val="en-US"/>
        </w:rPr>
      </w:pPr>
      <w:r>
        <w:rPr>
          <w:rFonts w:eastAsia="MS Mincho"/>
          <w:noProof/>
          <w:lang w:eastAsia="en-GB"/>
        </w:rPr>
        <w:lastRenderedPageBreak/>
        <w:drawing>
          <wp:inline distT="0" distB="0" distL="0" distR="0" wp14:anchorId="4E87A8E3" wp14:editId="365E5883">
            <wp:extent cx="4218940" cy="2280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940" cy="2280285"/>
                    </a:xfrm>
                    <a:prstGeom prst="rect">
                      <a:avLst/>
                    </a:prstGeom>
                    <a:noFill/>
                  </pic:spPr>
                </pic:pic>
              </a:graphicData>
            </a:graphic>
          </wp:inline>
        </w:drawing>
      </w:r>
    </w:p>
    <w:p w14:paraId="46E537AF" w14:textId="174ADAF5" w:rsidR="00155458" w:rsidRDefault="00155458" w:rsidP="00155458">
      <w:pPr>
        <w:pStyle w:val="Caption"/>
        <w:jc w:val="center"/>
        <w:rPr>
          <w:rFonts w:eastAsia="MS Mincho"/>
          <w:lang w:val="en-US"/>
        </w:rPr>
      </w:pPr>
      <w:bookmarkStart w:id="3" w:name="_Ref15555545"/>
      <w:r>
        <w:t xml:space="preserve">Figure </w:t>
      </w:r>
      <w:r w:rsidR="00EE1E25">
        <w:rPr>
          <w:noProof/>
        </w:rPr>
        <w:fldChar w:fldCharType="begin"/>
      </w:r>
      <w:r w:rsidR="00EE1E25">
        <w:rPr>
          <w:noProof/>
        </w:rPr>
        <w:instrText xml:space="preserve"> SEQ Figure \* ARABIC </w:instrText>
      </w:r>
      <w:r w:rsidR="00EE1E25">
        <w:rPr>
          <w:noProof/>
        </w:rPr>
        <w:fldChar w:fldCharType="separate"/>
      </w:r>
      <w:r w:rsidR="006D73CE">
        <w:rPr>
          <w:noProof/>
        </w:rPr>
        <w:t>2</w:t>
      </w:r>
      <w:r w:rsidR="00EE1E25">
        <w:rPr>
          <w:noProof/>
        </w:rPr>
        <w:fldChar w:fldCharType="end"/>
      </w:r>
      <w:bookmarkEnd w:id="3"/>
      <w:r>
        <w:t>: PDSCH crossing slot boundary</w:t>
      </w:r>
    </w:p>
    <w:p w14:paraId="3BE8D834" w14:textId="14C212B8" w:rsidR="00155458" w:rsidRDefault="006036D1" w:rsidP="000C2901">
      <w:pPr>
        <w:rPr>
          <w:rFonts w:eastAsia="MS Mincho"/>
          <w:lang w:val="en-US"/>
        </w:rPr>
      </w:pPr>
      <w:r w:rsidRPr="006036D1">
        <w:rPr>
          <w:rFonts w:eastAsia="MS Mincho"/>
          <w:b/>
          <w:lang w:val="en-US"/>
        </w:rPr>
        <w:t xml:space="preserve">Observation 2: Defining the parameter </w:t>
      </w:r>
      <w:r w:rsidRPr="00350811">
        <w:rPr>
          <w:rFonts w:eastAsia="MS Mincho"/>
          <w:b/>
          <w:i/>
          <w:lang w:val="en-US"/>
        </w:rPr>
        <w:t>S</w:t>
      </w:r>
      <w:r w:rsidRPr="006036D1">
        <w:rPr>
          <w:rFonts w:eastAsia="MS Mincho"/>
          <w:b/>
          <w:lang w:val="en-US"/>
        </w:rPr>
        <w:t xml:space="preserve"> to be relative to the end of DL Grant may lead to PDSCH allocation crossing </w:t>
      </w:r>
      <w:r w:rsidR="001D5394">
        <w:rPr>
          <w:rFonts w:eastAsia="MS Mincho"/>
          <w:b/>
          <w:lang w:val="en-US"/>
        </w:rPr>
        <w:t xml:space="preserve">a </w:t>
      </w:r>
      <w:r w:rsidRPr="006036D1">
        <w:rPr>
          <w:rFonts w:eastAsia="MS Mincho"/>
          <w:b/>
          <w:lang w:val="en-US"/>
        </w:rPr>
        <w:t>slot boundary</w:t>
      </w:r>
      <w:r>
        <w:rPr>
          <w:rFonts w:eastAsia="MS Mincho"/>
          <w:lang w:val="en-US"/>
        </w:rPr>
        <w:t>.</w:t>
      </w:r>
    </w:p>
    <w:p w14:paraId="6159243A" w14:textId="77777777" w:rsidR="006036D1" w:rsidRDefault="006036D1" w:rsidP="000C2901">
      <w:pPr>
        <w:rPr>
          <w:rFonts w:eastAsia="MS Mincho"/>
          <w:lang w:val="en-US"/>
        </w:rPr>
      </w:pPr>
    </w:p>
    <w:p w14:paraId="4BF9E62D" w14:textId="1815C637" w:rsidR="006D73CE" w:rsidRDefault="006D73CE" w:rsidP="000C2901">
      <w:pPr>
        <w:rPr>
          <w:rFonts w:eastAsia="MS Mincho"/>
          <w:lang w:val="en-US"/>
        </w:rPr>
      </w:pPr>
      <w:r>
        <w:rPr>
          <w:rFonts w:eastAsia="MS Mincho"/>
          <w:lang w:val="en-US"/>
        </w:rPr>
        <w:t xml:space="preserve">Another issue with defining </w:t>
      </w:r>
      <w:r w:rsidRPr="006D73CE">
        <w:rPr>
          <w:rFonts w:eastAsia="MS Mincho"/>
          <w:i/>
          <w:lang w:val="en-US"/>
        </w:rPr>
        <w:t>S</w:t>
      </w:r>
      <w:r>
        <w:rPr>
          <w:rFonts w:eastAsia="MS Mincho"/>
          <w:lang w:val="en-US"/>
        </w:rPr>
        <w:t xml:space="preserve"> to be relative to the end of the DL Grant is if the schedule</w:t>
      </w:r>
      <w:r w:rsidR="0018078F">
        <w:rPr>
          <w:rFonts w:eastAsia="MS Mincho"/>
          <w:lang w:val="en-US"/>
        </w:rPr>
        <w:t>r</w:t>
      </w:r>
      <w:r>
        <w:rPr>
          <w:rFonts w:eastAsia="MS Mincho"/>
          <w:lang w:val="en-US"/>
        </w:rPr>
        <w:t xml:space="preserve"> do</w:t>
      </w:r>
      <w:r w:rsidR="0018078F">
        <w:rPr>
          <w:rFonts w:eastAsia="MS Mincho"/>
          <w:lang w:val="en-US"/>
        </w:rPr>
        <w:t>es</w:t>
      </w:r>
      <w:r>
        <w:rPr>
          <w:rFonts w:eastAsia="MS Mincho"/>
          <w:lang w:val="en-US"/>
        </w:rPr>
        <w:t xml:space="preserve"> want to </w:t>
      </w:r>
      <w:r w:rsidR="00C2745F">
        <w:rPr>
          <w:rFonts w:eastAsia="MS Mincho"/>
          <w:lang w:val="en-US"/>
        </w:rPr>
        <w:t>do cross slot scheduling</w:t>
      </w:r>
      <w:r>
        <w:rPr>
          <w:rFonts w:eastAsia="MS Mincho"/>
          <w:lang w:val="en-US"/>
        </w:rPr>
        <w:t xml:space="preserve">, it will have to configure multiple entries in the TDRA table for a single such allocation. For example in </w:t>
      </w:r>
      <w:r w:rsidR="00C2745F">
        <w:rPr>
          <w:rFonts w:eastAsia="MS Mincho"/>
          <w:lang w:val="en-US"/>
        </w:rPr>
        <w:fldChar w:fldCharType="begin"/>
      </w:r>
      <w:r w:rsidR="00C2745F">
        <w:rPr>
          <w:rFonts w:eastAsia="MS Mincho"/>
          <w:lang w:val="en-US"/>
        </w:rPr>
        <w:instrText xml:space="preserve"> REF _Ref15560594 \h </w:instrText>
      </w:r>
      <w:r w:rsidR="00C2745F">
        <w:rPr>
          <w:rFonts w:eastAsia="MS Mincho"/>
          <w:lang w:val="en-US"/>
        </w:rPr>
      </w:r>
      <w:r w:rsidR="00C2745F">
        <w:rPr>
          <w:rFonts w:eastAsia="MS Mincho"/>
          <w:lang w:val="en-US"/>
        </w:rPr>
        <w:fldChar w:fldCharType="separate"/>
      </w:r>
      <w:r w:rsidR="00C2745F">
        <w:t xml:space="preserve">Figure </w:t>
      </w:r>
      <w:r w:rsidR="00C2745F">
        <w:rPr>
          <w:noProof/>
        </w:rPr>
        <w:t>3</w:t>
      </w:r>
      <w:r w:rsidR="00C2745F">
        <w:rPr>
          <w:rFonts w:eastAsia="MS Mincho"/>
          <w:lang w:val="en-US"/>
        </w:rPr>
        <w:fldChar w:fldCharType="end"/>
      </w:r>
      <w:r w:rsidR="00C2745F">
        <w:rPr>
          <w:rFonts w:eastAsia="MS Mincho"/>
          <w:lang w:val="en-US"/>
        </w:rPr>
        <w:t xml:space="preserve">, </w:t>
      </w:r>
      <w:r>
        <w:rPr>
          <w:rFonts w:eastAsia="MS Mincho"/>
          <w:lang w:val="en-US"/>
        </w:rPr>
        <w:t>if</w:t>
      </w:r>
      <w:r w:rsidR="00C2745F">
        <w:rPr>
          <w:rFonts w:eastAsia="MS Mincho"/>
          <w:lang w:val="en-US"/>
        </w:rPr>
        <w:t xml:space="preserve"> the scheduler wants to schedule a PDSCH with L=4 in the next slot that starts 2 OFDM symbols from the slot boundary, it will have to configure two entries in the TDRA table if </w:t>
      </w:r>
      <w:r w:rsidR="00C2745F" w:rsidRPr="00C2745F">
        <w:rPr>
          <w:rFonts w:eastAsia="MS Mincho"/>
          <w:i/>
          <w:lang w:val="en-US"/>
        </w:rPr>
        <w:t>S</w:t>
      </w:r>
      <w:r w:rsidR="00C2745F">
        <w:rPr>
          <w:rFonts w:eastAsia="MS Mincho"/>
          <w:lang w:val="en-US"/>
        </w:rPr>
        <w:t xml:space="preserve"> is relative to the end of the DL Grant for a 7 OFDM symbol PDCCH monitoring period, i.e. </w:t>
      </w:r>
      <w:r w:rsidR="00C2745F" w:rsidRPr="00C2745F">
        <w:rPr>
          <w:rFonts w:eastAsia="MS Mincho"/>
          <w:i/>
          <w:lang w:val="en-US"/>
        </w:rPr>
        <w:t>S</w:t>
      </w:r>
      <w:r w:rsidR="00C2745F">
        <w:rPr>
          <w:rFonts w:eastAsia="MS Mincho"/>
          <w:lang w:val="en-US"/>
        </w:rPr>
        <w:t xml:space="preserve">=14, </w:t>
      </w:r>
      <w:r w:rsidR="00C2745F" w:rsidRPr="00C2745F">
        <w:rPr>
          <w:rFonts w:eastAsia="MS Mincho"/>
          <w:i/>
          <w:lang w:val="en-US"/>
        </w:rPr>
        <w:t>L</w:t>
      </w:r>
      <w:r w:rsidR="00C2745F">
        <w:rPr>
          <w:rFonts w:eastAsia="MS Mincho"/>
          <w:lang w:val="en-US"/>
        </w:rPr>
        <w:t xml:space="preserve">=4 and </w:t>
      </w:r>
      <w:r w:rsidR="00C2745F" w:rsidRPr="00C2745F">
        <w:rPr>
          <w:rFonts w:eastAsia="MS Mincho"/>
          <w:i/>
          <w:lang w:val="en-US"/>
        </w:rPr>
        <w:t>S</w:t>
      </w:r>
      <w:r w:rsidR="00C2745F">
        <w:rPr>
          <w:rFonts w:eastAsia="MS Mincho"/>
          <w:lang w:val="en-US"/>
        </w:rPr>
        <w:t xml:space="preserve">=7, </w:t>
      </w:r>
      <w:r w:rsidR="00C2745F" w:rsidRPr="00C2745F">
        <w:rPr>
          <w:rFonts w:eastAsia="MS Mincho"/>
          <w:i/>
          <w:lang w:val="en-US"/>
        </w:rPr>
        <w:t>L</w:t>
      </w:r>
      <w:r w:rsidR="00C2745F">
        <w:rPr>
          <w:rFonts w:eastAsia="MS Mincho"/>
          <w:lang w:val="en-US"/>
        </w:rPr>
        <w:t xml:space="preserve">=4.  In contrast the Rel-15 TDRA parameters require only a single entry, i.e. </w:t>
      </w:r>
      <w:r w:rsidR="00C2745F" w:rsidRPr="00C2745F">
        <w:rPr>
          <w:rFonts w:eastAsia="MS Mincho"/>
          <w:i/>
          <w:lang w:val="en-US"/>
        </w:rPr>
        <w:t>K</w:t>
      </w:r>
      <w:r w:rsidR="00C2745F" w:rsidRPr="00C2745F">
        <w:rPr>
          <w:rFonts w:eastAsia="MS Mincho"/>
          <w:vertAlign w:val="subscript"/>
          <w:lang w:val="en-US"/>
        </w:rPr>
        <w:t>0</w:t>
      </w:r>
      <w:r w:rsidR="00C2745F">
        <w:rPr>
          <w:rFonts w:eastAsia="MS Mincho"/>
          <w:lang w:val="en-US"/>
        </w:rPr>
        <w:t xml:space="preserve">=1, </w:t>
      </w:r>
      <w:r w:rsidR="00C2745F" w:rsidRPr="00C2745F">
        <w:rPr>
          <w:rFonts w:eastAsia="MS Mincho"/>
          <w:i/>
          <w:lang w:val="en-US"/>
        </w:rPr>
        <w:t>S</w:t>
      </w:r>
      <w:r w:rsidR="00C2745F">
        <w:rPr>
          <w:rFonts w:eastAsia="MS Mincho"/>
          <w:lang w:val="en-US"/>
        </w:rPr>
        <w:t xml:space="preserve">=2, </w:t>
      </w:r>
      <w:r w:rsidR="00C2745F" w:rsidRPr="00C2745F">
        <w:rPr>
          <w:rFonts w:eastAsia="MS Mincho"/>
          <w:i/>
          <w:lang w:val="en-US"/>
        </w:rPr>
        <w:t>L</w:t>
      </w:r>
      <w:r w:rsidR="00C2745F">
        <w:rPr>
          <w:rFonts w:eastAsia="MS Mincho"/>
          <w:lang w:val="en-US"/>
        </w:rPr>
        <w:t>=4.</w:t>
      </w:r>
    </w:p>
    <w:p w14:paraId="1BCE19B4" w14:textId="4C50C395" w:rsidR="006D73CE" w:rsidRDefault="006D73CE" w:rsidP="006D73CE">
      <w:pPr>
        <w:jc w:val="center"/>
        <w:rPr>
          <w:rFonts w:eastAsia="MS Mincho"/>
          <w:lang w:val="en-US"/>
        </w:rPr>
      </w:pPr>
      <w:r>
        <w:rPr>
          <w:rFonts w:eastAsia="MS Mincho"/>
          <w:noProof/>
          <w:lang w:eastAsia="en-GB"/>
        </w:rPr>
        <w:drawing>
          <wp:inline distT="0" distB="0" distL="0" distR="0" wp14:anchorId="36A9B9A2" wp14:editId="0632220B">
            <wp:extent cx="4224655" cy="2103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4655" cy="2103120"/>
                    </a:xfrm>
                    <a:prstGeom prst="rect">
                      <a:avLst/>
                    </a:prstGeom>
                    <a:noFill/>
                  </pic:spPr>
                </pic:pic>
              </a:graphicData>
            </a:graphic>
          </wp:inline>
        </w:drawing>
      </w:r>
    </w:p>
    <w:p w14:paraId="602DCF63" w14:textId="3251918C" w:rsidR="006D73CE" w:rsidRDefault="006D73CE" w:rsidP="006D73CE">
      <w:pPr>
        <w:pStyle w:val="Caption"/>
        <w:jc w:val="center"/>
        <w:rPr>
          <w:rFonts w:eastAsia="MS Mincho"/>
          <w:lang w:val="en-US"/>
        </w:rPr>
      </w:pPr>
      <w:bookmarkStart w:id="4" w:name="_Ref15560594"/>
      <w:r>
        <w:t xml:space="preserve">Figure </w:t>
      </w:r>
      <w:r w:rsidR="00EE1E25">
        <w:rPr>
          <w:noProof/>
        </w:rPr>
        <w:fldChar w:fldCharType="begin"/>
      </w:r>
      <w:r w:rsidR="00EE1E25">
        <w:rPr>
          <w:noProof/>
        </w:rPr>
        <w:instrText xml:space="preserve"> SEQ Figure \* ARABIC </w:instrText>
      </w:r>
      <w:r w:rsidR="00EE1E25">
        <w:rPr>
          <w:noProof/>
        </w:rPr>
        <w:fldChar w:fldCharType="separate"/>
      </w:r>
      <w:r>
        <w:rPr>
          <w:noProof/>
        </w:rPr>
        <w:t>3</w:t>
      </w:r>
      <w:r w:rsidR="00EE1E25">
        <w:rPr>
          <w:noProof/>
        </w:rPr>
        <w:fldChar w:fldCharType="end"/>
      </w:r>
      <w:bookmarkEnd w:id="4"/>
      <w:r>
        <w:t>: Cross slot scheduling</w:t>
      </w:r>
    </w:p>
    <w:p w14:paraId="33CFA188" w14:textId="5C3744B1" w:rsidR="006036D1" w:rsidRPr="004768FB" w:rsidRDefault="00C2745F" w:rsidP="000C2901">
      <w:pPr>
        <w:rPr>
          <w:rFonts w:eastAsia="MS Mincho"/>
          <w:b/>
          <w:lang w:val="en-US"/>
        </w:rPr>
      </w:pPr>
      <w:r w:rsidRPr="004768FB">
        <w:rPr>
          <w:rFonts w:eastAsia="MS Mincho"/>
          <w:b/>
          <w:lang w:val="en-US"/>
        </w:rPr>
        <w:t xml:space="preserve">Observation 3: </w:t>
      </w:r>
      <w:r w:rsidR="004768FB" w:rsidRPr="004768FB">
        <w:rPr>
          <w:rFonts w:eastAsia="MS Mincho"/>
          <w:b/>
          <w:lang w:val="en-US"/>
        </w:rPr>
        <w:t xml:space="preserve">Defining the parameter </w:t>
      </w:r>
      <w:r w:rsidR="004768FB" w:rsidRPr="004768FB">
        <w:rPr>
          <w:rFonts w:eastAsia="MS Mincho"/>
          <w:b/>
          <w:i/>
          <w:lang w:val="en-US"/>
        </w:rPr>
        <w:t>S</w:t>
      </w:r>
      <w:r w:rsidR="004768FB" w:rsidRPr="004768FB">
        <w:rPr>
          <w:rFonts w:eastAsia="MS Mincho"/>
          <w:b/>
          <w:lang w:val="en-US"/>
        </w:rPr>
        <w:t xml:space="preserve"> to be relative to the end of DL Grant is inefficient for cross slot scheduling.</w:t>
      </w:r>
      <w:r w:rsidR="006D73CE" w:rsidRPr="004768FB">
        <w:rPr>
          <w:rFonts w:eastAsia="MS Mincho"/>
          <w:b/>
          <w:lang w:val="en-US"/>
        </w:rPr>
        <w:t xml:space="preserve"> </w:t>
      </w:r>
    </w:p>
    <w:p w14:paraId="085BB7F0" w14:textId="77777777" w:rsidR="00C2745F" w:rsidRDefault="00C2745F" w:rsidP="000C2901">
      <w:pPr>
        <w:rPr>
          <w:rFonts w:eastAsia="MS Mincho"/>
          <w:lang w:val="en-US"/>
        </w:rPr>
      </w:pPr>
    </w:p>
    <w:p w14:paraId="0060088B" w14:textId="6312F442" w:rsidR="004768FB" w:rsidRDefault="004768FB" w:rsidP="000C2901">
      <w:pPr>
        <w:rPr>
          <w:rFonts w:eastAsia="MS Mincho"/>
          <w:lang w:val="en-US"/>
        </w:rPr>
      </w:pPr>
      <w:r>
        <w:rPr>
          <w:rFonts w:eastAsia="MS Mincho"/>
          <w:lang w:val="en-US"/>
        </w:rPr>
        <w:t xml:space="preserve">One way to implement the parameter </w:t>
      </w:r>
      <w:r w:rsidRPr="004768FB">
        <w:rPr>
          <w:rFonts w:eastAsia="MS Mincho"/>
          <w:i/>
          <w:lang w:val="en-US"/>
        </w:rPr>
        <w:t>S</w:t>
      </w:r>
      <w:r>
        <w:rPr>
          <w:rFonts w:eastAsia="MS Mincho"/>
          <w:lang w:val="en-US"/>
        </w:rPr>
        <w:t xml:space="preserve"> to address the above observations is to interpret </w:t>
      </w:r>
      <w:r w:rsidR="001D5394">
        <w:rPr>
          <w:rFonts w:eastAsia="MS Mincho"/>
          <w:lang w:val="en-US"/>
        </w:rPr>
        <w:t xml:space="preserve">the </w:t>
      </w:r>
      <w:r>
        <w:rPr>
          <w:rFonts w:eastAsia="MS Mincho"/>
          <w:lang w:val="en-US"/>
        </w:rPr>
        <w:t xml:space="preserve">parameter </w:t>
      </w:r>
      <w:r w:rsidRPr="004768FB">
        <w:rPr>
          <w:rFonts w:eastAsia="MS Mincho"/>
          <w:i/>
          <w:lang w:val="en-US"/>
        </w:rPr>
        <w:t>S</w:t>
      </w:r>
      <w:r>
        <w:rPr>
          <w:rFonts w:eastAsia="MS Mincho"/>
          <w:lang w:val="en-US"/>
        </w:rPr>
        <w:t xml:space="preserve"> </w:t>
      </w:r>
      <w:r w:rsidR="00DB7605">
        <w:rPr>
          <w:rFonts w:eastAsia="MS Mincho"/>
          <w:lang w:val="en-US"/>
        </w:rPr>
        <w:t xml:space="preserve">as being </w:t>
      </w:r>
      <w:r>
        <w:rPr>
          <w:rFonts w:eastAsia="MS Mincho"/>
          <w:lang w:val="en-US"/>
        </w:rPr>
        <w:t xml:space="preserve">relative to the end of DL Grant if </w:t>
      </w:r>
      <w:r w:rsidRPr="004768FB">
        <w:rPr>
          <w:rFonts w:eastAsia="MS Mincho"/>
          <w:i/>
          <w:lang w:val="en-US"/>
        </w:rPr>
        <w:t>K</w:t>
      </w:r>
      <w:r w:rsidRPr="004768FB">
        <w:rPr>
          <w:rFonts w:eastAsia="MS Mincho"/>
          <w:vertAlign w:val="subscript"/>
          <w:lang w:val="en-US"/>
        </w:rPr>
        <w:t>0</w:t>
      </w:r>
      <w:r>
        <w:rPr>
          <w:rFonts w:eastAsia="MS Mincho"/>
          <w:lang w:val="en-US"/>
        </w:rPr>
        <w:t xml:space="preserve">=0 otherwise </w:t>
      </w:r>
      <w:r w:rsidRPr="004768FB">
        <w:rPr>
          <w:rFonts w:eastAsia="MS Mincho"/>
          <w:i/>
          <w:lang w:val="en-US"/>
        </w:rPr>
        <w:t>S</w:t>
      </w:r>
      <w:r>
        <w:rPr>
          <w:rFonts w:eastAsia="MS Mincho"/>
          <w:lang w:val="en-US"/>
        </w:rPr>
        <w:t xml:space="preserve"> is relative to the slot boundary.  The benefit of defining </w:t>
      </w:r>
      <w:r w:rsidRPr="00353CAF">
        <w:rPr>
          <w:rFonts w:eastAsia="MS Mincho"/>
          <w:i/>
          <w:lang w:val="en-US"/>
        </w:rPr>
        <w:t>S</w:t>
      </w:r>
      <w:r>
        <w:rPr>
          <w:rFonts w:eastAsia="MS Mincho"/>
          <w:lang w:val="en-US"/>
        </w:rPr>
        <w:t xml:space="preserve"> to be relative to the DL Grant is for low latency scheduling, which reduces </w:t>
      </w:r>
      <w:r w:rsidR="001D5394">
        <w:rPr>
          <w:rFonts w:eastAsia="MS Mincho"/>
          <w:lang w:val="en-US"/>
        </w:rPr>
        <w:t xml:space="preserve">the </w:t>
      </w:r>
      <w:r>
        <w:rPr>
          <w:rFonts w:eastAsia="MS Mincho"/>
          <w:lang w:val="en-US"/>
        </w:rPr>
        <w:t>number of entries in the TDRA table</w:t>
      </w:r>
      <w:r w:rsidR="00B3776D">
        <w:rPr>
          <w:rFonts w:eastAsia="MS Mincho"/>
          <w:lang w:val="en-US"/>
        </w:rPr>
        <w:t xml:space="preserve"> especially for same slot scheduling</w:t>
      </w:r>
      <w:r>
        <w:rPr>
          <w:rFonts w:eastAsia="MS Mincho"/>
          <w:lang w:val="en-US"/>
        </w:rPr>
        <w:t xml:space="preserve">.  And if cross slot scheduling is used, then it is more efficient to have </w:t>
      </w:r>
      <w:r w:rsidRPr="004768FB">
        <w:rPr>
          <w:rFonts w:eastAsia="MS Mincho"/>
          <w:i/>
          <w:lang w:val="en-US"/>
        </w:rPr>
        <w:t>S</w:t>
      </w:r>
      <w:r>
        <w:rPr>
          <w:rFonts w:eastAsia="MS Mincho"/>
          <w:lang w:val="en-US"/>
        </w:rPr>
        <w:t xml:space="preserve"> relative to the slot boundary as shown in the above observation.  </w:t>
      </w:r>
    </w:p>
    <w:p w14:paraId="15026706" w14:textId="2AE4F0F8" w:rsidR="004768FB" w:rsidRPr="00C757A9" w:rsidRDefault="004768FB" w:rsidP="000C2901">
      <w:pPr>
        <w:rPr>
          <w:rFonts w:eastAsia="MS Mincho"/>
          <w:b/>
          <w:lang w:val="en-US"/>
        </w:rPr>
      </w:pPr>
      <w:r w:rsidRPr="00C757A9">
        <w:rPr>
          <w:rFonts w:eastAsia="MS Mincho"/>
          <w:b/>
          <w:lang w:val="en-US"/>
        </w:rPr>
        <w:t xml:space="preserve">Proposal </w:t>
      </w:r>
      <w:r w:rsidR="00EA0880">
        <w:rPr>
          <w:rFonts w:eastAsia="MS Mincho"/>
          <w:b/>
          <w:lang w:val="en-US"/>
        </w:rPr>
        <w:t>2</w:t>
      </w:r>
      <w:r w:rsidRPr="00C757A9">
        <w:rPr>
          <w:rFonts w:eastAsia="MS Mincho"/>
          <w:b/>
          <w:lang w:val="en-US"/>
        </w:rPr>
        <w:t xml:space="preserve">: For URLLC operation, the TDRA parameter </w:t>
      </w:r>
      <w:r w:rsidRPr="00C757A9">
        <w:rPr>
          <w:rFonts w:eastAsia="MS Mincho"/>
          <w:b/>
          <w:i/>
          <w:lang w:val="en-US"/>
        </w:rPr>
        <w:t>S</w:t>
      </w:r>
      <w:r w:rsidRPr="00C757A9">
        <w:rPr>
          <w:rFonts w:eastAsia="MS Mincho"/>
          <w:b/>
          <w:lang w:val="en-US"/>
        </w:rPr>
        <w:t xml:space="preserve"> is:</w:t>
      </w:r>
    </w:p>
    <w:p w14:paraId="161FD283" w14:textId="09BEDA31" w:rsidR="00C757A9" w:rsidRPr="00C757A9" w:rsidRDefault="00C757A9" w:rsidP="00C757A9">
      <w:pPr>
        <w:pStyle w:val="ListParagraph"/>
        <w:numPr>
          <w:ilvl w:val="0"/>
          <w:numId w:val="40"/>
        </w:numPr>
        <w:rPr>
          <w:rFonts w:eastAsia="MS Mincho"/>
          <w:b/>
          <w:lang w:val="en-US"/>
        </w:rPr>
      </w:pPr>
      <w:r w:rsidRPr="00C757A9">
        <w:rPr>
          <w:rFonts w:eastAsia="MS Mincho"/>
          <w:b/>
          <w:lang w:val="en-US"/>
        </w:rPr>
        <w:t xml:space="preserve">Relative to the end of the PDCCH carrying the DL Grant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=0</w:t>
      </w:r>
    </w:p>
    <w:p w14:paraId="197A73F2" w14:textId="6FA94EC7" w:rsidR="00C757A9" w:rsidRPr="00C757A9" w:rsidRDefault="00C757A9" w:rsidP="00C757A9">
      <w:pPr>
        <w:pStyle w:val="ListParagraph"/>
        <w:numPr>
          <w:ilvl w:val="0"/>
          <w:numId w:val="40"/>
        </w:numPr>
        <w:rPr>
          <w:rFonts w:eastAsia="MS Mincho"/>
          <w:b/>
          <w:lang w:val="en-US"/>
        </w:rPr>
      </w:pPr>
      <w:r w:rsidRPr="00C757A9">
        <w:rPr>
          <w:rFonts w:eastAsia="MS Mincho"/>
          <w:b/>
          <w:lang w:val="en-US"/>
        </w:rPr>
        <w:t xml:space="preserve">Relative to the start of the slot boundary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≥1</w:t>
      </w:r>
    </w:p>
    <w:p w14:paraId="7F346255" w14:textId="77777777" w:rsidR="004768FB" w:rsidRDefault="004768FB" w:rsidP="000C2901">
      <w:pPr>
        <w:rPr>
          <w:rFonts w:eastAsia="MS Mincho"/>
          <w:lang w:val="en-US"/>
        </w:rPr>
      </w:pPr>
    </w:p>
    <w:p w14:paraId="4D40183C" w14:textId="72A9F58D" w:rsidR="00C757A9" w:rsidRDefault="005141B3" w:rsidP="00040836">
      <w:pPr>
        <w:pStyle w:val="Heading2"/>
        <w:numPr>
          <w:ilvl w:val="1"/>
          <w:numId w:val="8"/>
        </w:numPr>
        <w:rPr>
          <w:lang w:val="en-US"/>
        </w:rPr>
      </w:pPr>
      <w:r>
        <w:rPr>
          <w:color w:val="000000"/>
          <w:kern w:val="2"/>
          <w:lang w:eastAsia="zh-CN"/>
        </w:rPr>
        <w:t>Modulation and Coding Scheme (</w:t>
      </w:r>
      <w:r w:rsidR="00040836">
        <w:rPr>
          <w:lang w:val="en-US"/>
        </w:rPr>
        <w:t>MCS</w:t>
      </w:r>
      <w:r>
        <w:rPr>
          <w:lang w:val="en-US"/>
        </w:rPr>
        <w:t>)</w:t>
      </w:r>
    </w:p>
    <w:p w14:paraId="3FA2F042" w14:textId="119F9BD4" w:rsidR="00040836" w:rsidRDefault="00527811" w:rsidP="00040836">
      <w:pPr>
        <w:rPr>
          <w:lang w:val="en-US"/>
        </w:rPr>
      </w:pPr>
      <w:r>
        <w:rPr>
          <w:lang w:val="en-US"/>
        </w:rPr>
        <w:t>The size of the MCS field in Rel-15 is 5 bits and it is suggested that a smaller MCS size can be used since high modulation &amp; high code rate schemes are not suitable for URLLC</w:t>
      </w:r>
      <w:r w:rsidR="00353CAF">
        <w:rPr>
          <w:lang w:val="en-US"/>
        </w:rPr>
        <w:t xml:space="preserve"> as</w:t>
      </w:r>
      <w:r w:rsidR="00DB7605">
        <w:rPr>
          <w:lang w:val="en-US"/>
        </w:rPr>
        <w:t xml:space="preserve"> URLLC</w:t>
      </w:r>
      <w:r w:rsidR="00F60872">
        <w:rPr>
          <w:lang w:val="en-US"/>
        </w:rPr>
        <w:t xml:space="preserve"> requires high reliability</w:t>
      </w:r>
      <w:r w:rsidR="00DB7605">
        <w:rPr>
          <w:lang w:val="en-US"/>
        </w:rPr>
        <w:t>: hence the high modulation and code rate schemes</w:t>
      </w:r>
      <w:r w:rsidR="00F60872">
        <w:rPr>
          <w:lang w:val="en-US"/>
        </w:rPr>
        <w:t xml:space="preserve"> can be removed</w:t>
      </w:r>
      <w:r>
        <w:rPr>
          <w:lang w:val="en-US"/>
        </w:rPr>
        <w:t xml:space="preserve">.  However, </w:t>
      </w:r>
      <w:r w:rsidR="00F60872">
        <w:rPr>
          <w:lang w:val="en-US"/>
        </w:rPr>
        <w:t xml:space="preserve">this reliability aspect has already been addressed with the introduction of a lower spectral efficiency </w:t>
      </w:r>
      <w:r>
        <w:rPr>
          <w:lang w:val="en-US"/>
        </w:rPr>
        <w:t xml:space="preserve">MCS table </w:t>
      </w:r>
      <w:r w:rsidR="00F60872">
        <w:rPr>
          <w:lang w:val="en-US"/>
        </w:rPr>
        <w:t>in Rel-15.</w:t>
      </w:r>
    </w:p>
    <w:p w14:paraId="0392CA3E" w14:textId="69318208" w:rsidR="003B5EBD" w:rsidRDefault="00F60872" w:rsidP="00040836">
      <w:pPr>
        <w:rPr>
          <w:lang w:val="en-US"/>
        </w:rPr>
      </w:pPr>
      <w:r>
        <w:rPr>
          <w:lang w:val="en-US"/>
        </w:rPr>
        <w:t>Reducing the size of the MCS would lead to coarser MCS granularity which lead</w:t>
      </w:r>
      <w:r w:rsidR="001D5394">
        <w:rPr>
          <w:lang w:val="en-US"/>
        </w:rPr>
        <w:t>s</w:t>
      </w:r>
      <w:r>
        <w:rPr>
          <w:lang w:val="en-US"/>
        </w:rPr>
        <w:t xml:space="preserve"> to inefficient allocation of resources.  Alternatively, a </w:t>
      </w:r>
      <w:r w:rsidR="003B5EBD">
        <w:rPr>
          <w:lang w:val="en-US"/>
        </w:rPr>
        <w:t xml:space="preserve">localized subset </w:t>
      </w:r>
      <w:r>
        <w:rPr>
          <w:lang w:val="en-US"/>
        </w:rPr>
        <w:t xml:space="preserve">of the Rel-15 MCS table </w:t>
      </w:r>
      <w:r w:rsidR="00DB7605">
        <w:rPr>
          <w:lang w:val="en-US"/>
        </w:rPr>
        <w:t>could be</w:t>
      </w:r>
      <w:r>
        <w:rPr>
          <w:lang w:val="en-US"/>
        </w:rPr>
        <w:t xml:space="preserve"> used, e.g. a </w:t>
      </w:r>
      <w:proofErr w:type="gramStart"/>
      <w:r>
        <w:rPr>
          <w:lang w:val="en-US"/>
        </w:rPr>
        <w:t>3 bit</w:t>
      </w:r>
      <w:proofErr w:type="gramEnd"/>
      <w:r>
        <w:rPr>
          <w:lang w:val="en-US"/>
        </w:rPr>
        <w:t xml:space="preserve"> MCS field </w:t>
      </w:r>
      <w:r w:rsidR="00DB7605">
        <w:rPr>
          <w:lang w:val="en-US"/>
        </w:rPr>
        <w:t xml:space="preserve">using </w:t>
      </w:r>
      <w:r>
        <w:rPr>
          <w:lang w:val="en-US"/>
        </w:rPr>
        <w:t>the lowe</w:t>
      </w:r>
      <w:r w:rsidR="003B5EBD">
        <w:rPr>
          <w:lang w:val="en-US"/>
        </w:rPr>
        <w:t xml:space="preserve">r 8 entries of </w:t>
      </w:r>
      <w:r w:rsidR="00DB7605">
        <w:rPr>
          <w:lang w:val="en-US"/>
        </w:rPr>
        <w:t xml:space="preserve">the </w:t>
      </w:r>
      <w:r w:rsidR="003B5EBD">
        <w:rPr>
          <w:lang w:val="en-US"/>
        </w:rPr>
        <w:t>Rel-15 MCS table, and the localized subset used is RRC configured, e.g. by configuring the starting MCS (i.e. an anchor MCS) of the localized subset [3]. However, localizing to a subset of the Rel-15 MCS table may not be suitable if the UE moves to a different radio condition and reconfiguring the UE to a different subset of the MCS table would introduce latency.  Hence, we have a preference not to change the size of the MCS field.</w:t>
      </w:r>
    </w:p>
    <w:p w14:paraId="393BA6BC" w14:textId="5EA4D6CF" w:rsidR="00F60872" w:rsidRDefault="003B5EBD" w:rsidP="00040836">
      <w:pPr>
        <w:rPr>
          <w:b/>
          <w:lang w:val="en-US"/>
        </w:rPr>
      </w:pPr>
      <w:r w:rsidRPr="003B5EBD">
        <w:rPr>
          <w:b/>
          <w:lang w:val="en-US"/>
        </w:rPr>
        <w:t xml:space="preserve">Proposal </w:t>
      </w:r>
      <w:r w:rsidR="00EA0880">
        <w:rPr>
          <w:b/>
          <w:lang w:val="en-US"/>
        </w:rPr>
        <w:t>3</w:t>
      </w:r>
      <w:r w:rsidRPr="003B5EBD">
        <w:rPr>
          <w:b/>
          <w:lang w:val="en-US"/>
        </w:rPr>
        <w:t xml:space="preserve">: The size of the MCS field is maintained at 5 bits.  </w:t>
      </w:r>
    </w:p>
    <w:p w14:paraId="74D19E29" w14:textId="77777777" w:rsidR="00EA0880" w:rsidRPr="003B5EBD" w:rsidRDefault="00EA0880" w:rsidP="00040836">
      <w:pPr>
        <w:rPr>
          <w:b/>
          <w:lang w:val="en-US"/>
        </w:rPr>
      </w:pPr>
    </w:p>
    <w:p w14:paraId="449120F6" w14:textId="5774939E" w:rsidR="005141B3" w:rsidRDefault="005141B3" w:rsidP="005141B3">
      <w:pPr>
        <w:pStyle w:val="Heading2"/>
        <w:numPr>
          <w:ilvl w:val="1"/>
          <w:numId w:val="8"/>
        </w:numPr>
        <w:rPr>
          <w:lang w:val="en-US"/>
        </w:rPr>
      </w:pPr>
      <w:r>
        <w:rPr>
          <w:lang w:val="en-US"/>
        </w:rPr>
        <w:t>Redundancy Version (RV)</w:t>
      </w:r>
    </w:p>
    <w:p w14:paraId="21229486" w14:textId="0EE99D53" w:rsidR="005141B3" w:rsidRDefault="005141B3" w:rsidP="005141B3">
      <w:pPr>
        <w:rPr>
          <w:lang w:val="en-US"/>
        </w:rPr>
      </w:pPr>
      <w:r>
        <w:rPr>
          <w:lang w:val="en-US"/>
        </w:rPr>
        <w:t>The size of the RV field in Rel-15</w:t>
      </w:r>
      <w:r w:rsidR="008C4D81">
        <w:rPr>
          <w:lang w:val="en-US"/>
        </w:rPr>
        <w:t xml:space="preserve"> is 2 bits</w:t>
      </w:r>
      <w:r w:rsidR="00CF3C03">
        <w:rPr>
          <w:lang w:val="en-US"/>
        </w:rPr>
        <w:t>,</w:t>
      </w:r>
      <w:r w:rsidR="008C4D81">
        <w:rPr>
          <w:lang w:val="en-US"/>
        </w:rPr>
        <w:t xml:space="preserve"> supporting four RV.  It is noted that the number of HARQ retransmissions that can be supported within the URLLC low latency budget is limited especially for PUSCH.  Hence, the number of RV can be reduced</w:t>
      </w:r>
      <w:r>
        <w:rPr>
          <w:lang w:val="en-US"/>
        </w:rPr>
        <w:t>.  However, the number of HARQ retransmission</w:t>
      </w:r>
      <w:r w:rsidR="00CF3C03">
        <w:rPr>
          <w:lang w:val="en-US"/>
        </w:rPr>
        <w:t>s</w:t>
      </w:r>
      <w:r>
        <w:rPr>
          <w:lang w:val="en-US"/>
        </w:rPr>
        <w:t xml:space="preserve"> that can fit into the URLLC latency budget (0.5 </w:t>
      </w:r>
      <w:proofErr w:type="spellStart"/>
      <w:r>
        <w:rPr>
          <w:lang w:val="en-US"/>
        </w:rPr>
        <w:t>ms</w:t>
      </w:r>
      <w:proofErr w:type="spellEnd"/>
      <w:r>
        <w:rPr>
          <w:lang w:val="en-US"/>
        </w:rPr>
        <w:t xml:space="preserve"> or 1 </w:t>
      </w:r>
      <w:proofErr w:type="spellStart"/>
      <w:r>
        <w:rPr>
          <w:lang w:val="en-US"/>
        </w:rPr>
        <w:t>ms</w:t>
      </w:r>
      <w:proofErr w:type="spellEnd"/>
      <w:r>
        <w:rPr>
          <w:lang w:val="en-US"/>
        </w:rPr>
        <w:t>) depe</w:t>
      </w:r>
      <w:r w:rsidR="008C4D81">
        <w:rPr>
          <w:lang w:val="en-US"/>
        </w:rPr>
        <w:t>nds on the Subcarrier Spacing.  Therefore, we prefer that the RV size is configurable between 1 or 2 bits.</w:t>
      </w:r>
    </w:p>
    <w:p w14:paraId="5DF6555E" w14:textId="21EF702A" w:rsidR="008C4D81" w:rsidRPr="008C4D81" w:rsidRDefault="008C4D81" w:rsidP="005141B3">
      <w:pPr>
        <w:rPr>
          <w:b/>
          <w:lang w:val="en-US"/>
        </w:rPr>
      </w:pPr>
      <w:bookmarkStart w:id="5" w:name="_GoBack"/>
      <w:r w:rsidRPr="008C4D81">
        <w:rPr>
          <w:b/>
          <w:lang w:val="en-US"/>
        </w:rPr>
        <w:t xml:space="preserve">Proposal </w:t>
      </w:r>
      <w:r w:rsidR="00EA0880">
        <w:rPr>
          <w:b/>
          <w:lang w:val="en-US"/>
        </w:rPr>
        <w:t>4</w:t>
      </w:r>
      <w:r w:rsidRPr="008C4D81">
        <w:rPr>
          <w:b/>
          <w:lang w:val="en-US"/>
        </w:rPr>
        <w:t>: The Redundancy Version (RV) field is configurable between 1 or 2 bits.</w:t>
      </w:r>
    </w:p>
    <w:bookmarkEnd w:id="5"/>
    <w:p w14:paraId="1F44052B" w14:textId="77777777" w:rsidR="008C4D81" w:rsidRDefault="008C4D81" w:rsidP="005141B3">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47748F34" w:rsidR="0088003C" w:rsidRDefault="00855F39" w:rsidP="0088003C">
      <w:r>
        <w:t xml:space="preserve">In this contribution we discuss </w:t>
      </w:r>
      <w:r w:rsidR="008C4D81">
        <w:t>reduction of DCI size for URLLC</w:t>
      </w:r>
      <w:r w:rsidR="00116008">
        <w:t>.  We observe the following</w:t>
      </w:r>
      <w:r>
        <w:t>:</w:t>
      </w:r>
    </w:p>
    <w:p w14:paraId="5D84A63A" w14:textId="77777777" w:rsidR="00DC6060" w:rsidRPr="00155458" w:rsidRDefault="00DC6060" w:rsidP="00DC6060">
      <w:pPr>
        <w:rPr>
          <w:rFonts w:eastAsia="MS Mincho"/>
          <w:b/>
          <w:lang w:val="en-US"/>
        </w:rPr>
      </w:pPr>
      <w:r w:rsidRPr="00155458">
        <w:rPr>
          <w:rFonts w:eastAsia="MS Mincho"/>
          <w:b/>
          <w:lang w:val="en-US"/>
        </w:rPr>
        <w:t>Observation 1: Rel-15 TDRA parameters are not efficient in allocating PDSCH that require low latency for multiple PDCCH monitoring occasions per slot.</w:t>
      </w:r>
    </w:p>
    <w:p w14:paraId="28092B35" w14:textId="77777777" w:rsidR="00DC6060" w:rsidRDefault="00DC6060" w:rsidP="00DC6060">
      <w:pPr>
        <w:rPr>
          <w:rFonts w:eastAsia="MS Mincho"/>
          <w:lang w:val="en-US"/>
        </w:rPr>
      </w:pPr>
      <w:r w:rsidRPr="006036D1">
        <w:rPr>
          <w:rFonts w:eastAsia="MS Mincho"/>
          <w:b/>
          <w:lang w:val="en-US"/>
        </w:rPr>
        <w:t xml:space="preserve">Observation 2: Defining the parameter </w:t>
      </w:r>
      <w:r w:rsidRPr="00350811">
        <w:rPr>
          <w:rFonts w:eastAsia="MS Mincho"/>
          <w:b/>
          <w:i/>
          <w:lang w:val="en-US"/>
        </w:rPr>
        <w:t>S</w:t>
      </w:r>
      <w:r w:rsidRPr="006036D1">
        <w:rPr>
          <w:rFonts w:eastAsia="MS Mincho"/>
          <w:b/>
          <w:lang w:val="en-US"/>
        </w:rPr>
        <w:t xml:space="preserve"> to be relative to the end of DL Grant may lead to PDSCH allocation crossing </w:t>
      </w:r>
      <w:r>
        <w:rPr>
          <w:rFonts w:eastAsia="MS Mincho"/>
          <w:b/>
          <w:lang w:val="en-US"/>
        </w:rPr>
        <w:t xml:space="preserve">a </w:t>
      </w:r>
      <w:r w:rsidRPr="006036D1">
        <w:rPr>
          <w:rFonts w:eastAsia="MS Mincho"/>
          <w:b/>
          <w:lang w:val="en-US"/>
        </w:rPr>
        <w:t>slot boundary</w:t>
      </w:r>
      <w:r>
        <w:rPr>
          <w:rFonts w:eastAsia="MS Mincho"/>
          <w:lang w:val="en-US"/>
        </w:rPr>
        <w:t>.</w:t>
      </w:r>
    </w:p>
    <w:p w14:paraId="4B458ADB" w14:textId="77777777" w:rsidR="00DC6060" w:rsidRPr="004768FB" w:rsidRDefault="00DC6060" w:rsidP="00DC6060">
      <w:pPr>
        <w:rPr>
          <w:rFonts w:eastAsia="MS Mincho"/>
          <w:b/>
          <w:lang w:val="en-US"/>
        </w:rPr>
      </w:pPr>
      <w:r w:rsidRPr="004768FB">
        <w:rPr>
          <w:rFonts w:eastAsia="MS Mincho"/>
          <w:b/>
          <w:lang w:val="en-US"/>
        </w:rPr>
        <w:t xml:space="preserve">Observation 3: Defining the parameter </w:t>
      </w:r>
      <w:r w:rsidRPr="004768FB">
        <w:rPr>
          <w:rFonts w:eastAsia="MS Mincho"/>
          <w:b/>
          <w:i/>
          <w:lang w:val="en-US"/>
        </w:rPr>
        <w:t>S</w:t>
      </w:r>
      <w:r w:rsidRPr="004768FB">
        <w:rPr>
          <w:rFonts w:eastAsia="MS Mincho"/>
          <w:b/>
          <w:lang w:val="en-US"/>
        </w:rPr>
        <w:t xml:space="preserve"> to be relative to the end of DL Grant is inefficient for cross slot scheduling. </w:t>
      </w:r>
    </w:p>
    <w:p w14:paraId="52F0A4EF" w14:textId="77777777" w:rsidR="00043E4F" w:rsidRDefault="00043E4F" w:rsidP="00855F39"/>
    <w:p w14:paraId="2187BC09" w14:textId="77777777" w:rsidR="00160371" w:rsidRDefault="00160371" w:rsidP="00855F39">
      <w:r>
        <w:t>We therefore propose the following:</w:t>
      </w:r>
    </w:p>
    <w:p w14:paraId="70F547AD" w14:textId="77777777" w:rsidR="00DC6060" w:rsidRPr="0024533F" w:rsidRDefault="00DC6060" w:rsidP="00DC6060">
      <w:pPr>
        <w:rPr>
          <w:rFonts w:eastAsia="MS Mincho"/>
          <w:b/>
          <w:lang w:val="en-US"/>
        </w:rPr>
      </w:pPr>
      <w:r w:rsidRPr="0024533F">
        <w:rPr>
          <w:rFonts w:eastAsia="MS Mincho"/>
          <w:b/>
          <w:lang w:val="en-US"/>
        </w:rPr>
        <w:t xml:space="preserve">Proposal </w:t>
      </w:r>
      <w:r>
        <w:rPr>
          <w:rFonts w:eastAsia="MS Mincho"/>
          <w:b/>
          <w:lang w:val="en-US"/>
        </w:rPr>
        <w:t>1</w:t>
      </w:r>
      <w:r w:rsidRPr="0024533F">
        <w:rPr>
          <w:rFonts w:eastAsia="MS Mincho"/>
          <w:b/>
          <w:lang w:val="en-US"/>
        </w:rPr>
        <w:t>: Support Resource Allocation Type 0 for frequency domain resource assignment for the DCI format scheduling Rel-16 DL URLLC.</w:t>
      </w:r>
    </w:p>
    <w:p w14:paraId="32B9883D" w14:textId="77777777" w:rsidR="00DC6060" w:rsidRPr="00C757A9" w:rsidRDefault="00DC6060" w:rsidP="00DC6060">
      <w:pPr>
        <w:rPr>
          <w:rFonts w:eastAsia="MS Mincho"/>
          <w:b/>
          <w:lang w:val="en-US"/>
        </w:rPr>
      </w:pPr>
      <w:r w:rsidRPr="00C757A9">
        <w:rPr>
          <w:rFonts w:eastAsia="MS Mincho"/>
          <w:b/>
          <w:lang w:val="en-US"/>
        </w:rPr>
        <w:t xml:space="preserve">Proposal </w:t>
      </w:r>
      <w:r>
        <w:rPr>
          <w:rFonts w:eastAsia="MS Mincho"/>
          <w:b/>
          <w:lang w:val="en-US"/>
        </w:rPr>
        <w:t>2</w:t>
      </w:r>
      <w:r w:rsidRPr="00C757A9">
        <w:rPr>
          <w:rFonts w:eastAsia="MS Mincho"/>
          <w:b/>
          <w:lang w:val="en-US"/>
        </w:rPr>
        <w:t xml:space="preserve">: For URLLC operation, the TDRA parameter </w:t>
      </w:r>
      <w:r w:rsidRPr="00C757A9">
        <w:rPr>
          <w:rFonts w:eastAsia="MS Mincho"/>
          <w:b/>
          <w:i/>
          <w:lang w:val="en-US"/>
        </w:rPr>
        <w:t>S</w:t>
      </w:r>
      <w:r w:rsidRPr="00C757A9">
        <w:rPr>
          <w:rFonts w:eastAsia="MS Mincho"/>
          <w:b/>
          <w:lang w:val="en-US"/>
        </w:rPr>
        <w:t xml:space="preserve"> is:</w:t>
      </w:r>
    </w:p>
    <w:p w14:paraId="12AC4DCD" w14:textId="77777777" w:rsidR="00DC6060" w:rsidRPr="00C757A9" w:rsidRDefault="00DC6060" w:rsidP="00DC6060">
      <w:pPr>
        <w:pStyle w:val="ListParagraph"/>
        <w:numPr>
          <w:ilvl w:val="0"/>
          <w:numId w:val="40"/>
        </w:numPr>
        <w:rPr>
          <w:rFonts w:eastAsia="MS Mincho"/>
          <w:b/>
          <w:lang w:val="en-US"/>
        </w:rPr>
      </w:pPr>
      <w:r w:rsidRPr="00C757A9">
        <w:rPr>
          <w:rFonts w:eastAsia="MS Mincho"/>
          <w:b/>
          <w:lang w:val="en-US"/>
        </w:rPr>
        <w:t xml:space="preserve">Relative to the end of the PDCCH carrying the DL Grant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=0</w:t>
      </w:r>
    </w:p>
    <w:p w14:paraId="77316971" w14:textId="77777777" w:rsidR="00DC6060" w:rsidRPr="00C757A9" w:rsidRDefault="00DC6060" w:rsidP="00DC6060">
      <w:pPr>
        <w:pStyle w:val="ListParagraph"/>
        <w:numPr>
          <w:ilvl w:val="0"/>
          <w:numId w:val="40"/>
        </w:numPr>
        <w:rPr>
          <w:rFonts w:eastAsia="MS Mincho"/>
          <w:b/>
          <w:lang w:val="en-US"/>
        </w:rPr>
      </w:pPr>
      <w:r w:rsidRPr="00C757A9">
        <w:rPr>
          <w:rFonts w:eastAsia="MS Mincho"/>
          <w:b/>
          <w:lang w:val="en-US"/>
        </w:rPr>
        <w:t xml:space="preserve">Relative to the start of the slot boundary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≥1</w:t>
      </w:r>
    </w:p>
    <w:p w14:paraId="3DA70831" w14:textId="77777777" w:rsidR="00DC6060" w:rsidRDefault="00DC6060" w:rsidP="00DC6060">
      <w:pPr>
        <w:rPr>
          <w:rFonts w:eastAsia="MS Mincho"/>
          <w:lang w:val="en-US"/>
        </w:rPr>
      </w:pPr>
    </w:p>
    <w:p w14:paraId="1F339842" w14:textId="77777777" w:rsidR="00DC6060" w:rsidRDefault="00DC6060" w:rsidP="00DC6060">
      <w:pPr>
        <w:rPr>
          <w:b/>
          <w:lang w:val="en-US"/>
        </w:rPr>
      </w:pPr>
      <w:r w:rsidRPr="003B5EBD">
        <w:rPr>
          <w:b/>
          <w:lang w:val="en-US"/>
        </w:rPr>
        <w:t xml:space="preserve">Proposal </w:t>
      </w:r>
      <w:r>
        <w:rPr>
          <w:b/>
          <w:lang w:val="en-US"/>
        </w:rPr>
        <w:t>3</w:t>
      </w:r>
      <w:r w:rsidRPr="003B5EBD">
        <w:rPr>
          <w:b/>
          <w:lang w:val="en-US"/>
        </w:rPr>
        <w:t xml:space="preserve">: The size of the MCS field is maintained at 5 bits.  </w:t>
      </w:r>
    </w:p>
    <w:p w14:paraId="4AF32CC3" w14:textId="77777777" w:rsidR="00DC6060" w:rsidRPr="008C4D81" w:rsidRDefault="00DC6060" w:rsidP="00DC6060">
      <w:pPr>
        <w:rPr>
          <w:b/>
          <w:lang w:val="en-US"/>
        </w:rPr>
      </w:pPr>
      <w:r w:rsidRPr="008C4D81">
        <w:rPr>
          <w:b/>
          <w:lang w:val="en-US"/>
        </w:rPr>
        <w:t xml:space="preserve">Proposal </w:t>
      </w:r>
      <w:r>
        <w:rPr>
          <w:b/>
          <w:lang w:val="en-US"/>
        </w:rPr>
        <w:t>4</w:t>
      </w:r>
      <w:r w:rsidRPr="008C4D81">
        <w:rPr>
          <w:b/>
          <w:lang w:val="en-US"/>
        </w:rPr>
        <w:t>: The Redundancy Version (RV) field is configurable between 1 or 2 bits.</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043AF30" w14:textId="64B377E1" w:rsidR="00AD17BB" w:rsidRDefault="00855F39" w:rsidP="00203776">
      <w:r>
        <w:t xml:space="preserve">[1] </w:t>
      </w:r>
      <w:r w:rsidR="00203776">
        <w:t>TR38.824, “Study on physical layer enhancements for NR ultra-reliable and low latency case (URLLC) (Rel-16)”</w:t>
      </w:r>
    </w:p>
    <w:p w14:paraId="6C9B185C" w14:textId="148630B4" w:rsidR="002732F5" w:rsidRDefault="002732F5" w:rsidP="00203776">
      <w:r>
        <w:t xml:space="preserve">[2] </w:t>
      </w:r>
      <w:r w:rsidR="005F6FBF" w:rsidRPr="005F6FBF">
        <w:t>R1-1909877</w:t>
      </w:r>
      <w:r>
        <w:t>, “</w:t>
      </w:r>
      <w:r w:rsidR="005F6FBF" w:rsidRPr="005F6FBF">
        <w:t>Summary of Friday afternoon offline discussion on PDCCH enhancements</w:t>
      </w:r>
      <w:r>
        <w:t>,” Huawei, RAN1#9</w:t>
      </w:r>
      <w:r w:rsidR="005F6FBF">
        <w:t>8</w:t>
      </w:r>
    </w:p>
    <w:p w14:paraId="14BC485B" w14:textId="31A6EB8D" w:rsidR="003B5EBD" w:rsidRDefault="003B5EBD" w:rsidP="00203776">
      <w:r>
        <w:t xml:space="preserve">[3] </w:t>
      </w:r>
      <w:r w:rsidRPr="003B5EBD">
        <w:t>R1-1906751</w:t>
      </w:r>
      <w:r>
        <w:t>, “</w:t>
      </w:r>
      <w:r w:rsidRPr="003B5EBD">
        <w:t>On PDCCH Enhancements for NR URLLC</w:t>
      </w:r>
      <w:r>
        <w:t xml:space="preserve">,” </w:t>
      </w:r>
      <w:r w:rsidRPr="003B5EBD">
        <w:t>Nokia, Nokia Shanghai Bell</w:t>
      </w:r>
      <w:r>
        <w:t>, RAN1#97</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A6E81" w14:textId="77777777" w:rsidR="00525147" w:rsidRDefault="00525147">
      <w:r>
        <w:separator/>
      </w:r>
    </w:p>
  </w:endnote>
  <w:endnote w:type="continuationSeparator" w:id="0">
    <w:p w14:paraId="707889FF" w14:textId="77777777" w:rsidR="00525147" w:rsidRDefault="0052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BD09E" w14:textId="77777777" w:rsidR="00525147" w:rsidRDefault="00525147">
      <w:r>
        <w:separator/>
      </w:r>
    </w:p>
  </w:footnote>
  <w:footnote w:type="continuationSeparator" w:id="0">
    <w:p w14:paraId="441D4259" w14:textId="77777777" w:rsidR="00525147" w:rsidRDefault="00525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F821E5"/>
    <w:multiLevelType w:val="hybridMultilevel"/>
    <w:tmpl w:val="17489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DA504E"/>
    <w:multiLevelType w:val="hybridMultilevel"/>
    <w:tmpl w:val="0D0CD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1"/>
  </w:num>
  <w:num w:numId="4">
    <w:abstractNumId w:val="10"/>
  </w:num>
  <w:num w:numId="5">
    <w:abstractNumId w:val="26"/>
  </w:num>
  <w:num w:numId="6">
    <w:abstractNumId w:val="11"/>
  </w:num>
  <w:num w:numId="7">
    <w:abstractNumId w:val="2"/>
  </w:num>
  <w:num w:numId="8">
    <w:abstractNumId w:val="0"/>
  </w:num>
  <w:num w:numId="9">
    <w:abstractNumId w:val="19"/>
  </w:num>
  <w:num w:numId="10">
    <w:abstractNumId w:val="15"/>
  </w:num>
  <w:num w:numId="11">
    <w:abstractNumId w:val="7"/>
  </w:num>
  <w:num w:numId="12">
    <w:abstractNumId w:val="37"/>
  </w:num>
  <w:num w:numId="13">
    <w:abstractNumId w:val="24"/>
  </w:num>
  <w:num w:numId="14">
    <w:abstractNumId w:val="14"/>
  </w:num>
  <w:num w:numId="15">
    <w:abstractNumId w:val="35"/>
  </w:num>
  <w:num w:numId="16">
    <w:abstractNumId w:val="29"/>
  </w:num>
  <w:num w:numId="17">
    <w:abstractNumId w:val="39"/>
  </w:num>
  <w:num w:numId="18">
    <w:abstractNumId w:val="32"/>
  </w:num>
  <w:num w:numId="19">
    <w:abstractNumId w:val="20"/>
  </w:num>
  <w:num w:numId="20">
    <w:abstractNumId w:val="3"/>
  </w:num>
  <w:num w:numId="21">
    <w:abstractNumId w:val="17"/>
  </w:num>
  <w:num w:numId="22">
    <w:abstractNumId w:val="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7"/>
  </w:num>
  <w:num w:numId="26">
    <w:abstractNumId w:val="18"/>
  </w:num>
  <w:num w:numId="27">
    <w:abstractNumId w:val="25"/>
  </w:num>
  <w:num w:numId="28">
    <w:abstractNumId w:val="30"/>
  </w:num>
  <w:num w:numId="29">
    <w:abstractNumId w:val="12"/>
  </w:num>
  <w:num w:numId="30">
    <w:abstractNumId w:val="9"/>
  </w:num>
  <w:num w:numId="31">
    <w:abstractNumId w:val="8"/>
  </w:num>
  <w:num w:numId="32">
    <w:abstractNumId w:val="8"/>
  </w:num>
  <w:num w:numId="33">
    <w:abstractNumId w:val="22"/>
  </w:num>
  <w:num w:numId="34">
    <w:abstractNumId w:val="1"/>
  </w:num>
  <w:num w:numId="35">
    <w:abstractNumId w:val="8"/>
  </w:num>
  <w:num w:numId="36">
    <w:abstractNumId w:val="23"/>
  </w:num>
  <w:num w:numId="37">
    <w:abstractNumId w:val="4"/>
  </w:num>
  <w:num w:numId="38">
    <w:abstractNumId w:val="19"/>
  </w:num>
  <w:num w:numId="39">
    <w:abstractNumId w:val="16"/>
  </w:num>
  <w:num w:numId="40">
    <w:abstractNumId w:val="31"/>
  </w:num>
  <w:num w:numId="41">
    <w:abstractNumId w:val="5"/>
  </w:num>
  <w:num w:numId="42">
    <w:abstractNumId w:val="38"/>
  </w:num>
  <w:num w:numId="43">
    <w:abstractNumId w:val="33"/>
  </w:num>
  <w:num w:numId="44">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3E23"/>
    <w:rsid w:val="000102FF"/>
    <w:rsid w:val="0001157C"/>
    <w:rsid w:val="00031AA4"/>
    <w:rsid w:val="00040836"/>
    <w:rsid w:val="0004157F"/>
    <w:rsid w:val="00043E4F"/>
    <w:rsid w:val="00046177"/>
    <w:rsid w:val="00062DA9"/>
    <w:rsid w:val="000C2901"/>
    <w:rsid w:val="000D639E"/>
    <w:rsid w:val="000D7B2E"/>
    <w:rsid w:val="000F183A"/>
    <w:rsid w:val="000F2691"/>
    <w:rsid w:val="00106793"/>
    <w:rsid w:val="00116008"/>
    <w:rsid w:val="001318A8"/>
    <w:rsid w:val="0014010F"/>
    <w:rsid w:val="00144192"/>
    <w:rsid w:val="00155458"/>
    <w:rsid w:val="00160371"/>
    <w:rsid w:val="001641D6"/>
    <w:rsid w:val="00173B87"/>
    <w:rsid w:val="0018078F"/>
    <w:rsid w:val="00191488"/>
    <w:rsid w:val="001B1893"/>
    <w:rsid w:val="001D5394"/>
    <w:rsid w:val="001D7294"/>
    <w:rsid w:val="001F2DD8"/>
    <w:rsid w:val="001F6D3C"/>
    <w:rsid w:val="00203776"/>
    <w:rsid w:val="002136ED"/>
    <w:rsid w:val="0021716A"/>
    <w:rsid w:val="0021781D"/>
    <w:rsid w:val="0022222B"/>
    <w:rsid w:val="0023091B"/>
    <w:rsid w:val="00233CA5"/>
    <w:rsid w:val="0024533F"/>
    <w:rsid w:val="00252C04"/>
    <w:rsid w:val="00270216"/>
    <w:rsid w:val="002732F5"/>
    <w:rsid w:val="00275802"/>
    <w:rsid w:val="002761EC"/>
    <w:rsid w:val="002850B5"/>
    <w:rsid w:val="00292A08"/>
    <w:rsid w:val="002A006C"/>
    <w:rsid w:val="002B1D8E"/>
    <w:rsid w:val="002C75C7"/>
    <w:rsid w:val="002D14A6"/>
    <w:rsid w:val="002D4F72"/>
    <w:rsid w:val="002E0D51"/>
    <w:rsid w:val="002F27E9"/>
    <w:rsid w:val="002F7659"/>
    <w:rsid w:val="003162A9"/>
    <w:rsid w:val="00325336"/>
    <w:rsid w:val="00327383"/>
    <w:rsid w:val="00350811"/>
    <w:rsid w:val="003539C7"/>
    <w:rsid w:val="00353CAF"/>
    <w:rsid w:val="00356FC8"/>
    <w:rsid w:val="003661A3"/>
    <w:rsid w:val="003A004E"/>
    <w:rsid w:val="003A1646"/>
    <w:rsid w:val="003A33E8"/>
    <w:rsid w:val="003B5EBD"/>
    <w:rsid w:val="003C646A"/>
    <w:rsid w:val="003D3533"/>
    <w:rsid w:val="003D4C90"/>
    <w:rsid w:val="004012D6"/>
    <w:rsid w:val="0041482F"/>
    <w:rsid w:val="00421D52"/>
    <w:rsid w:val="00422848"/>
    <w:rsid w:val="00427D9F"/>
    <w:rsid w:val="00453952"/>
    <w:rsid w:val="00464932"/>
    <w:rsid w:val="004768FB"/>
    <w:rsid w:val="0048341C"/>
    <w:rsid w:val="0048511E"/>
    <w:rsid w:val="00492A87"/>
    <w:rsid w:val="004A650D"/>
    <w:rsid w:val="004B158E"/>
    <w:rsid w:val="004D1FC7"/>
    <w:rsid w:val="004D5BF4"/>
    <w:rsid w:val="004E0AC7"/>
    <w:rsid w:val="004F6519"/>
    <w:rsid w:val="00502AA5"/>
    <w:rsid w:val="00503DA1"/>
    <w:rsid w:val="005141B3"/>
    <w:rsid w:val="00514ACC"/>
    <w:rsid w:val="00525147"/>
    <w:rsid w:val="00527811"/>
    <w:rsid w:val="005317FD"/>
    <w:rsid w:val="00544758"/>
    <w:rsid w:val="0055725A"/>
    <w:rsid w:val="005654F5"/>
    <w:rsid w:val="005658A0"/>
    <w:rsid w:val="005776BC"/>
    <w:rsid w:val="00577F8A"/>
    <w:rsid w:val="005873A3"/>
    <w:rsid w:val="005A3297"/>
    <w:rsid w:val="005B2791"/>
    <w:rsid w:val="005C19D9"/>
    <w:rsid w:val="005C70A9"/>
    <w:rsid w:val="005C7515"/>
    <w:rsid w:val="005D729E"/>
    <w:rsid w:val="005F5642"/>
    <w:rsid w:val="005F6FBF"/>
    <w:rsid w:val="006036D1"/>
    <w:rsid w:val="00626BB3"/>
    <w:rsid w:val="00643E1D"/>
    <w:rsid w:val="006569B2"/>
    <w:rsid w:val="00656A30"/>
    <w:rsid w:val="00673015"/>
    <w:rsid w:val="00690683"/>
    <w:rsid w:val="00694ABB"/>
    <w:rsid w:val="006B35D9"/>
    <w:rsid w:val="006B39D4"/>
    <w:rsid w:val="006B43D5"/>
    <w:rsid w:val="006D0EAA"/>
    <w:rsid w:val="006D21BF"/>
    <w:rsid w:val="006D62EB"/>
    <w:rsid w:val="006D73CE"/>
    <w:rsid w:val="006F502D"/>
    <w:rsid w:val="00712E4B"/>
    <w:rsid w:val="007172AC"/>
    <w:rsid w:val="007271F6"/>
    <w:rsid w:val="0073373C"/>
    <w:rsid w:val="00734D78"/>
    <w:rsid w:val="00743918"/>
    <w:rsid w:val="00773AC2"/>
    <w:rsid w:val="00782D42"/>
    <w:rsid w:val="00783E56"/>
    <w:rsid w:val="007A086D"/>
    <w:rsid w:val="007A3FB0"/>
    <w:rsid w:val="007B2533"/>
    <w:rsid w:val="007D3E92"/>
    <w:rsid w:val="007D59B0"/>
    <w:rsid w:val="007F1D9C"/>
    <w:rsid w:val="007F518E"/>
    <w:rsid w:val="008012B7"/>
    <w:rsid w:val="00801A0E"/>
    <w:rsid w:val="00802E59"/>
    <w:rsid w:val="008413E1"/>
    <w:rsid w:val="00842D44"/>
    <w:rsid w:val="00843540"/>
    <w:rsid w:val="00847A26"/>
    <w:rsid w:val="00855F39"/>
    <w:rsid w:val="00877AF1"/>
    <w:rsid w:val="0088003C"/>
    <w:rsid w:val="00881651"/>
    <w:rsid w:val="008B589E"/>
    <w:rsid w:val="008C2305"/>
    <w:rsid w:val="008C4D81"/>
    <w:rsid w:val="008D76C0"/>
    <w:rsid w:val="008D7C42"/>
    <w:rsid w:val="008F434A"/>
    <w:rsid w:val="009173D8"/>
    <w:rsid w:val="00920581"/>
    <w:rsid w:val="00923C84"/>
    <w:rsid w:val="00924FF2"/>
    <w:rsid w:val="009261FB"/>
    <w:rsid w:val="00937F79"/>
    <w:rsid w:val="0095028A"/>
    <w:rsid w:val="00953616"/>
    <w:rsid w:val="00961354"/>
    <w:rsid w:val="009743CD"/>
    <w:rsid w:val="009779E0"/>
    <w:rsid w:val="0099351A"/>
    <w:rsid w:val="009D4321"/>
    <w:rsid w:val="009D6199"/>
    <w:rsid w:val="009D7CB0"/>
    <w:rsid w:val="009E0604"/>
    <w:rsid w:val="009E6DE5"/>
    <w:rsid w:val="00A2568F"/>
    <w:rsid w:val="00A35D8F"/>
    <w:rsid w:val="00A43E4F"/>
    <w:rsid w:val="00A4775E"/>
    <w:rsid w:val="00A57B22"/>
    <w:rsid w:val="00A61CED"/>
    <w:rsid w:val="00A74192"/>
    <w:rsid w:val="00A824A2"/>
    <w:rsid w:val="00A91C99"/>
    <w:rsid w:val="00AA5907"/>
    <w:rsid w:val="00AB118C"/>
    <w:rsid w:val="00AB4ED7"/>
    <w:rsid w:val="00AC440B"/>
    <w:rsid w:val="00AD17BB"/>
    <w:rsid w:val="00AE52A9"/>
    <w:rsid w:val="00AF500B"/>
    <w:rsid w:val="00B132F8"/>
    <w:rsid w:val="00B2782B"/>
    <w:rsid w:val="00B3776D"/>
    <w:rsid w:val="00B434DA"/>
    <w:rsid w:val="00B4693B"/>
    <w:rsid w:val="00B72231"/>
    <w:rsid w:val="00B77116"/>
    <w:rsid w:val="00B910D6"/>
    <w:rsid w:val="00B969BD"/>
    <w:rsid w:val="00BA58BF"/>
    <w:rsid w:val="00BB2B91"/>
    <w:rsid w:val="00BB47FD"/>
    <w:rsid w:val="00BC2D77"/>
    <w:rsid w:val="00C04F0E"/>
    <w:rsid w:val="00C05967"/>
    <w:rsid w:val="00C06F57"/>
    <w:rsid w:val="00C11C96"/>
    <w:rsid w:val="00C12176"/>
    <w:rsid w:val="00C17CE0"/>
    <w:rsid w:val="00C246F3"/>
    <w:rsid w:val="00C2745F"/>
    <w:rsid w:val="00C2790E"/>
    <w:rsid w:val="00C27AB9"/>
    <w:rsid w:val="00C64143"/>
    <w:rsid w:val="00C74ED5"/>
    <w:rsid w:val="00C757A9"/>
    <w:rsid w:val="00C85A7B"/>
    <w:rsid w:val="00C8704A"/>
    <w:rsid w:val="00C97D4D"/>
    <w:rsid w:val="00CB2067"/>
    <w:rsid w:val="00CC1C2E"/>
    <w:rsid w:val="00CD763C"/>
    <w:rsid w:val="00CE74AD"/>
    <w:rsid w:val="00CF3C03"/>
    <w:rsid w:val="00D05592"/>
    <w:rsid w:val="00D24596"/>
    <w:rsid w:val="00D25B95"/>
    <w:rsid w:val="00D25F71"/>
    <w:rsid w:val="00D3258A"/>
    <w:rsid w:val="00D42531"/>
    <w:rsid w:val="00D550D7"/>
    <w:rsid w:val="00D76319"/>
    <w:rsid w:val="00D969D2"/>
    <w:rsid w:val="00DA4475"/>
    <w:rsid w:val="00DB3077"/>
    <w:rsid w:val="00DB7605"/>
    <w:rsid w:val="00DB7CD3"/>
    <w:rsid w:val="00DB7F21"/>
    <w:rsid w:val="00DC6060"/>
    <w:rsid w:val="00DD00B1"/>
    <w:rsid w:val="00DD077C"/>
    <w:rsid w:val="00DD1C76"/>
    <w:rsid w:val="00DE2090"/>
    <w:rsid w:val="00DE5DA3"/>
    <w:rsid w:val="00DE5E32"/>
    <w:rsid w:val="00DF7A12"/>
    <w:rsid w:val="00E119B7"/>
    <w:rsid w:val="00E65A15"/>
    <w:rsid w:val="00E7721C"/>
    <w:rsid w:val="00E80AA8"/>
    <w:rsid w:val="00E95706"/>
    <w:rsid w:val="00EA0880"/>
    <w:rsid w:val="00EA40E1"/>
    <w:rsid w:val="00EE1E25"/>
    <w:rsid w:val="00EF2E1D"/>
    <w:rsid w:val="00EF6860"/>
    <w:rsid w:val="00EF68EB"/>
    <w:rsid w:val="00F1792E"/>
    <w:rsid w:val="00F2008C"/>
    <w:rsid w:val="00F234D2"/>
    <w:rsid w:val="00F27E41"/>
    <w:rsid w:val="00F41322"/>
    <w:rsid w:val="00F42338"/>
    <w:rsid w:val="00F60872"/>
    <w:rsid w:val="00F65320"/>
    <w:rsid w:val="00F759EA"/>
    <w:rsid w:val="00F912B3"/>
    <w:rsid w:val="00FA49E4"/>
    <w:rsid w:val="00FA4AE2"/>
    <w:rsid w:val="00FB0A5A"/>
    <w:rsid w:val="00FB1BC5"/>
    <w:rsid w:val="00FB778E"/>
    <w:rsid w:val="00FC3D97"/>
    <w:rsid w:val="00FC4D74"/>
    <w:rsid w:val="00FC59D2"/>
    <w:rsid w:val="00FD37C4"/>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56135">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A2A9B-19EF-4AC1-A08F-F724D1B6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13</cp:revision>
  <cp:lastPrinted>2002-04-23T09:10:00Z</cp:lastPrinted>
  <dcterms:created xsi:type="dcterms:W3CDTF">2019-08-12T16:44:00Z</dcterms:created>
  <dcterms:modified xsi:type="dcterms:W3CDTF">2019-10-07T17:17:00Z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